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8C14" w14:textId="77777777" w:rsidR="00691284" w:rsidRDefault="00D375E3">
      <w:pPr>
        <w:spacing w:after="0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344F5D95" wp14:editId="63C5E61B">
                <wp:simplePos x="0" y="0"/>
                <wp:positionH relativeFrom="column">
                  <wp:posOffset>-698499</wp:posOffset>
                </wp:positionH>
                <wp:positionV relativeFrom="paragraph">
                  <wp:posOffset>152400</wp:posOffset>
                </wp:positionV>
                <wp:extent cx="7357110" cy="1509395"/>
                <wp:effectExtent l="0" t="0" r="0" b="0"/>
                <wp:wrapNone/>
                <wp:docPr id="1404704390" name="Group 1404704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1667425" y="3025300"/>
                          <a:chExt cx="7357150" cy="1509400"/>
                        </a:xfrm>
                      </wpg:grpSpPr>
                      <wpg:grpSp>
                        <wpg:cNvPr id="1849710735" name="Group 1849710735"/>
                        <wpg:cNvGrpSpPr/>
                        <wpg:grpSpPr>
                          <a:xfrm>
                            <a:off x="1667445" y="3025303"/>
                            <a:ext cx="7357110" cy="1509395"/>
                            <a:chOff x="0" y="0"/>
                            <a:chExt cx="7357730" cy="1509824"/>
                          </a:xfrm>
                        </wpg:grpSpPr>
                        <wps:wsp>
                          <wps:cNvPr id="218834705" name="Rectangle 218834705"/>
                          <wps:cNvSpPr/>
                          <wps:spPr>
                            <a:xfrm>
                              <a:off x="0" y="0"/>
                              <a:ext cx="7357725" cy="150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927DAC" w14:textId="77777777" w:rsidR="00691284" w:rsidRDefault="0069128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 descr="C:\Users\Emila\Documents\BoS\Regional Committees\Minutes &amp; Agenda\NC_BoS_CoC_Map-B&amp;W-11.11.13(1).jpg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945758" cy="1509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14130" y="127591"/>
                              <a:ext cx="5943600" cy="10526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152400</wp:posOffset>
                </wp:positionV>
                <wp:extent cx="7357110" cy="1509395"/>
                <wp:effectExtent b="0" l="0" r="0" t="0"/>
                <wp:wrapNone/>
                <wp:docPr id="140470439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7110" cy="1509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0E9F13" w14:textId="77777777" w:rsidR="00691284" w:rsidRDefault="00691284">
      <w:pPr>
        <w:spacing w:after="0"/>
        <w:jc w:val="center"/>
        <w:rPr>
          <w:b/>
        </w:rPr>
      </w:pPr>
    </w:p>
    <w:p w14:paraId="37F99001" w14:textId="77777777" w:rsidR="00691284" w:rsidRDefault="00691284">
      <w:pPr>
        <w:spacing w:after="0"/>
        <w:jc w:val="center"/>
        <w:rPr>
          <w:b/>
        </w:rPr>
      </w:pPr>
    </w:p>
    <w:p w14:paraId="7C164E53" w14:textId="77777777" w:rsidR="00691284" w:rsidRDefault="00691284">
      <w:pPr>
        <w:spacing w:after="0"/>
        <w:jc w:val="center"/>
        <w:rPr>
          <w:b/>
        </w:rPr>
      </w:pPr>
    </w:p>
    <w:p w14:paraId="7EC7CFCB" w14:textId="77777777" w:rsidR="00691284" w:rsidRDefault="00691284">
      <w:pPr>
        <w:spacing w:after="0"/>
        <w:jc w:val="center"/>
        <w:rPr>
          <w:b/>
        </w:rPr>
      </w:pPr>
    </w:p>
    <w:p w14:paraId="527B9282" w14:textId="77777777" w:rsidR="00691284" w:rsidRDefault="00691284">
      <w:pPr>
        <w:spacing w:after="120"/>
      </w:pPr>
    </w:p>
    <w:p w14:paraId="69B0777D" w14:textId="77777777" w:rsidR="00691284" w:rsidRDefault="00691284">
      <w:pPr>
        <w:spacing w:after="120"/>
      </w:pPr>
    </w:p>
    <w:p w14:paraId="31E4F6B0" w14:textId="77777777" w:rsidR="00691284" w:rsidRDefault="00D375E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NC Balance of State CoC Special Steering Committee </w:t>
      </w:r>
    </w:p>
    <w:p w14:paraId="37D89694" w14:textId="77777777" w:rsidR="00691284" w:rsidRDefault="00D375E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>Meeting Minutes – CoC Project Ranking</w:t>
      </w:r>
      <w:r>
        <w:rPr>
          <w:b/>
          <w:sz w:val="36"/>
          <w:szCs w:val="36"/>
        </w:rPr>
        <w:br/>
      </w:r>
      <w:r>
        <w:rPr>
          <w:sz w:val="24"/>
          <w:szCs w:val="24"/>
        </w:rPr>
        <w:t>August 22, 2023</w:t>
      </w:r>
      <w:r>
        <w:rPr>
          <w:sz w:val="24"/>
          <w:szCs w:val="24"/>
        </w:rPr>
        <w:br/>
      </w:r>
    </w:p>
    <w:p w14:paraId="0B15810A" w14:textId="77777777" w:rsidR="00691284" w:rsidRDefault="00D375E3">
      <w:pPr>
        <w:rPr>
          <w:sz w:val="23"/>
          <w:szCs w:val="23"/>
        </w:rPr>
      </w:pPr>
      <w:bookmarkStart w:id="0" w:name="_heading=h.gjdgxs" w:colFirst="0" w:colLast="0"/>
      <w:bookmarkEnd w:id="0"/>
      <w:r>
        <w:rPr>
          <w:b/>
          <w:sz w:val="23"/>
          <w:szCs w:val="23"/>
        </w:rPr>
        <w:t>Regional Leads Present:</w:t>
      </w:r>
      <w:r>
        <w:rPr>
          <w:sz w:val="23"/>
          <w:szCs w:val="23"/>
        </w:rPr>
        <w:t xml:space="preserve"> Derek Lancour, Emily Lowery, Amber Story, Pamela Hinton, Kristen McAlhaney, Natasha Elliott, Dr. Dia Thomas, LaTasha McNair, Kisha Darden, Catonnia Pitt, Brian Fike</w:t>
      </w:r>
    </w:p>
    <w:p w14:paraId="530404DE" w14:textId="77777777" w:rsidR="00691284" w:rsidRDefault="00D375E3">
      <w:pPr>
        <w:spacing w:before="240" w:line="240" w:lineRule="auto"/>
        <w:rPr>
          <w:sz w:val="23"/>
          <w:szCs w:val="23"/>
        </w:rPr>
      </w:pPr>
      <w:r>
        <w:rPr>
          <w:b/>
          <w:sz w:val="23"/>
          <w:szCs w:val="23"/>
        </w:rPr>
        <w:t>At-Large Members Present:</w:t>
      </w:r>
      <w:r>
        <w:rPr>
          <w:sz w:val="23"/>
          <w:szCs w:val="23"/>
        </w:rPr>
        <w:t xml:space="preserve"> Melissa Hewitt, Rachelle Dugan, Ellen Blackman, Catherine Kastle</w:t>
      </w:r>
      <w:r>
        <w:rPr>
          <w:sz w:val="23"/>
          <w:szCs w:val="23"/>
        </w:rPr>
        <w:t>man, Angela Harper King, Lisa Phillips</w:t>
      </w:r>
    </w:p>
    <w:p w14:paraId="5C3BA73E" w14:textId="0F8968A4" w:rsidR="00691284" w:rsidRDefault="00D375E3">
      <w:pPr>
        <w:spacing w:line="240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SC Members Absent: </w:t>
      </w:r>
      <w:r>
        <w:rPr>
          <w:sz w:val="23"/>
          <w:szCs w:val="23"/>
        </w:rPr>
        <w:t>Tiffany Askew, Brooks Ann McKinney, Cassandra Row</w:t>
      </w:r>
      <w:r w:rsidR="00FA1681">
        <w:rPr>
          <w:sz w:val="23"/>
          <w:szCs w:val="23"/>
        </w:rPr>
        <w:t>e, Marie Watson, James Stroud</w:t>
      </w:r>
    </w:p>
    <w:p w14:paraId="778BD341" w14:textId="3FE1FA53" w:rsidR="00691284" w:rsidRDefault="00D375E3">
      <w:pPr>
        <w:rPr>
          <w:sz w:val="23"/>
          <w:szCs w:val="23"/>
        </w:rPr>
      </w:pPr>
      <w:r>
        <w:rPr>
          <w:b/>
          <w:sz w:val="23"/>
          <w:szCs w:val="23"/>
        </w:rPr>
        <w:t>Interested Parties Present:</w:t>
      </w:r>
      <w:r>
        <w:rPr>
          <w:sz w:val="23"/>
          <w:szCs w:val="23"/>
        </w:rPr>
        <w:t xml:space="preserve"> Akeem McDuffie, Christina Rary, Casey McCall, Bre Griffin, Crystal Gwendo, Denice Ariztia</w:t>
      </w:r>
      <w:r>
        <w:rPr>
          <w:sz w:val="23"/>
          <w:szCs w:val="23"/>
        </w:rPr>
        <w:t>, Kerry Bashaw, Kristine Wiles, Laurenn Singleton, Leah Dyson, Mary Erwin, Shaneitha Lee, Veronica Murphy, Zinia Holley, Alyce Knaflich, Teena Willis, Lori Watts, Amy Modlin, Melissa Elliott</w:t>
      </w:r>
    </w:p>
    <w:p w14:paraId="4A346DBB" w14:textId="77777777" w:rsidR="00691284" w:rsidRDefault="00D375E3">
      <w:pPr>
        <w:rPr>
          <w:sz w:val="23"/>
          <w:szCs w:val="23"/>
        </w:rPr>
      </w:pPr>
      <w:bookmarkStart w:id="1" w:name="_heading=h.30j0zll" w:colFirst="0" w:colLast="0"/>
      <w:bookmarkEnd w:id="1"/>
      <w:r>
        <w:rPr>
          <w:b/>
          <w:sz w:val="23"/>
          <w:szCs w:val="23"/>
        </w:rPr>
        <w:t xml:space="preserve">NCCEH Staff Present: </w:t>
      </w:r>
      <w:r>
        <w:rPr>
          <w:sz w:val="23"/>
          <w:szCs w:val="23"/>
        </w:rPr>
        <w:t>Brian Alexander, Laurel Benfield,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Allie Ca</w:t>
      </w:r>
      <w:r>
        <w:rPr>
          <w:sz w:val="23"/>
          <w:szCs w:val="23"/>
        </w:rPr>
        <w:t>rd, Jenny Simmons, Ashley VonHatten</w:t>
      </w:r>
    </w:p>
    <w:p w14:paraId="5862885B" w14:textId="77777777" w:rsidR="00691284" w:rsidRDefault="00D375E3">
      <w:pPr>
        <w:rPr>
          <w:b/>
          <w:color w:val="202020"/>
          <w:sz w:val="23"/>
          <w:szCs w:val="23"/>
        </w:rPr>
      </w:pPr>
      <w:r>
        <w:rPr>
          <w:b/>
          <w:color w:val="202020"/>
          <w:sz w:val="23"/>
          <w:szCs w:val="23"/>
        </w:rPr>
        <w:t>Scoring Process/Project Applications</w:t>
      </w:r>
    </w:p>
    <w:p w14:paraId="5715FAB3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 xml:space="preserve">The CoC Consolidated Application has 3 parts </w:t>
      </w:r>
    </w:p>
    <w:p w14:paraId="013F9799" w14:textId="77777777" w:rsidR="00691284" w:rsidRDefault="00D375E3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 wp14:anchorId="3A1996DD" wp14:editId="02BD7C33">
            <wp:extent cx="6248594" cy="2782221"/>
            <wp:effectExtent l="0" t="0" r="0" b="0"/>
            <wp:docPr id="1404704391" name="image5.png" descr="A blue and white text on a blu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blue and white text on a blue background&#10;&#10;Description automatically generated"/>
                    <pic:cNvPicPr preferRelativeResize="0"/>
                  </pic:nvPicPr>
                  <pic:blipFill>
                    <a:blip r:embed="rId11"/>
                    <a:srcRect t="2343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6248594" cy="2782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A771A4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The Project Review Committee plays a crucial role in the application process.</w:t>
      </w:r>
    </w:p>
    <w:p w14:paraId="55BF8F19" w14:textId="77777777" w:rsidR="00691284" w:rsidRDefault="00D375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Composed of one representative from each Regional </w:t>
      </w:r>
      <w:r>
        <w:rPr>
          <w:color w:val="000000"/>
          <w:sz w:val="23"/>
          <w:szCs w:val="23"/>
        </w:rPr>
        <w:t>Committee &amp; interested at-large Steering Committee members (conflict-free -- not grantees or applicants)</w:t>
      </w:r>
    </w:p>
    <w:p w14:paraId="30E19477" w14:textId="77777777" w:rsidR="00691284" w:rsidRDefault="00D375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Scores new &amp; renewal project applications using approved scorecards</w:t>
      </w:r>
    </w:p>
    <w:p w14:paraId="59095FA9" w14:textId="77777777" w:rsidR="00691284" w:rsidRDefault="00D375E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Recommends ranked list of new &amp; renewal project applications for CoC Collaborative </w:t>
      </w:r>
      <w:r>
        <w:rPr>
          <w:color w:val="000000"/>
          <w:sz w:val="23"/>
          <w:szCs w:val="23"/>
        </w:rPr>
        <w:t>Application to the Steering Committee for approval</w:t>
      </w:r>
    </w:p>
    <w:p w14:paraId="57A7CCB5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Scoring &amp; ranking projects allows the CoC to prioritize funding for the best projects. The scoring and ranking process:</w:t>
      </w:r>
    </w:p>
    <w:p w14:paraId="5B650E53" w14:textId="77777777" w:rsidR="00691284" w:rsidRDefault="00D37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Allows the CoC to prioritize funding based on HUD &amp; CoC priorities and needs</w:t>
      </w:r>
    </w:p>
    <w:p w14:paraId="4EE3666F" w14:textId="77777777" w:rsidR="00691284" w:rsidRDefault="00D37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Ensures </w:t>
      </w:r>
      <w:r>
        <w:rPr>
          <w:color w:val="000000"/>
          <w:sz w:val="23"/>
          <w:szCs w:val="23"/>
        </w:rPr>
        <w:t>the CoC prioritizes funding for projects that have high performance &amp; manage funds well</w:t>
      </w:r>
    </w:p>
    <w:p w14:paraId="04DD99D4" w14:textId="77777777" w:rsidR="00691284" w:rsidRDefault="00D375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Required by HUD</w:t>
      </w:r>
    </w:p>
    <w:p w14:paraId="446303E7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The CoC has over $16.6 million in homeless funding at stake in the FY2023 CoC Program competition.</w:t>
      </w:r>
    </w:p>
    <w:p w14:paraId="25997D00" w14:textId="77777777" w:rsidR="00691284" w:rsidRDefault="00D375E3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3A5250D2" wp14:editId="02F36D26">
            <wp:extent cx="6349013" cy="1861970"/>
            <wp:effectExtent l="0" t="0" r="0" b="0"/>
            <wp:docPr id="1404704393" name="image4.png" descr="A graph of a number of individual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graph of a number of individuals&#10;&#10;Description automatically generated with medium confiden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9013" cy="1861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D38CD" w14:textId="77777777" w:rsidR="00691284" w:rsidRDefault="00D375E3">
      <w:pPr>
        <w:rPr>
          <w:color w:val="000000"/>
          <w:sz w:val="23"/>
          <w:szCs w:val="23"/>
        </w:rPr>
      </w:pPr>
      <w:r>
        <w:rPr>
          <w:sz w:val="23"/>
          <w:szCs w:val="23"/>
        </w:rPr>
        <w:lastRenderedPageBreak/>
        <w:t xml:space="preserve">Project ranking was informed by the CoC’s </w:t>
      </w:r>
      <w:r>
        <w:rPr>
          <w:sz w:val="23"/>
          <w:szCs w:val="23"/>
        </w:rPr>
        <w:t>Funding Priorities &amp; the scorecards. The FY2023 CoC Program Funding Priorities document provides g</w:t>
      </w:r>
      <w:r>
        <w:rPr>
          <w:color w:val="000000"/>
          <w:sz w:val="23"/>
          <w:szCs w:val="23"/>
        </w:rPr>
        <w:t xml:space="preserve">uidance from the Continuum of Care on its priorities for funding. This includes priorities for funding specific project types and regional </w:t>
      </w:r>
      <w:r>
        <w:rPr>
          <w:sz w:val="23"/>
          <w:szCs w:val="23"/>
        </w:rPr>
        <w:t>needs</w:t>
      </w:r>
      <w:r>
        <w:rPr>
          <w:color w:val="000000"/>
          <w:sz w:val="23"/>
          <w:szCs w:val="23"/>
        </w:rPr>
        <w:t>.</w:t>
      </w:r>
    </w:p>
    <w:p w14:paraId="6F58D51B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The approved</w:t>
      </w:r>
      <w:r>
        <w:rPr>
          <w:sz w:val="23"/>
          <w:szCs w:val="23"/>
        </w:rPr>
        <w:t xml:space="preserve"> new &amp; renewal scorecards organize evaluation using:</w:t>
      </w:r>
    </w:p>
    <w:p w14:paraId="3DF45556" w14:textId="77777777" w:rsidR="00691284" w:rsidRDefault="00D37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Thresholds: Essential components that must be met in order to be funded.</w:t>
      </w:r>
    </w:p>
    <w:p w14:paraId="617A86B4" w14:textId="77777777" w:rsidR="00691284" w:rsidRDefault="00D37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Standards: High priorities for projects to ideally meet that indicate programmatic success.</w:t>
      </w:r>
    </w:p>
    <w:p w14:paraId="348E85A7" w14:textId="77777777" w:rsidR="00691284" w:rsidRDefault="00D37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Minimums: Meeting section minimums ind</w:t>
      </w:r>
      <w:r>
        <w:rPr>
          <w:color w:val="000000"/>
          <w:sz w:val="23"/>
          <w:szCs w:val="23"/>
        </w:rPr>
        <w:t>icates well-rounded projects and that essential components are not missing that could affect performance.</w:t>
      </w:r>
    </w:p>
    <w:p w14:paraId="5AAA1E79" w14:textId="77777777" w:rsidR="00691284" w:rsidRDefault="00D375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Points: Used to incentivize practices and to pull higher performing projects up in the ranking list.</w:t>
      </w:r>
    </w:p>
    <w:p w14:paraId="4B5FFABF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The PRC &amp; NCCEH staff used approved scorecards to</w:t>
      </w:r>
      <w:r>
        <w:rPr>
          <w:sz w:val="23"/>
          <w:szCs w:val="23"/>
        </w:rPr>
        <w:t xml:space="preserve"> review applications.</w:t>
      </w:r>
    </w:p>
    <w:p w14:paraId="3C2355B7" w14:textId="77777777" w:rsidR="00691284" w:rsidRDefault="00D375E3">
      <w:pPr>
        <w:numPr>
          <w:ilvl w:val="0"/>
          <w:numId w:val="1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Two Types of Scoring: </w:t>
      </w:r>
    </w:p>
    <w:p w14:paraId="329C2FA3" w14:textId="77777777" w:rsidR="00691284" w:rsidRDefault="00D375E3">
      <w:pPr>
        <w:numPr>
          <w:ilvl w:val="1"/>
          <w:numId w:val="1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Combined Scoring section of each application scored by:</w:t>
      </w:r>
    </w:p>
    <w:p w14:paraId="2CDC581B" w14:textId="77777777" w:rsidR="00691284" w:rsidRDefault="00D375E3">
      <w:pPr>
        <w:numPr>
          <w:ilvl w:val="2"/>
          <w:numId w:val="11"/>
        </w:numPr>
        <w:spacing w:after="0"/>
        <w:rPr>
          <w:sz w:val="23"/>
          <w:szCs w:val="23"/>
        </w:rPr>
      </w:pPr>
      <w:r>
        <w:rPr>
          <w:color w:val="000000"/>
          <w:sz w:val="23"/>
          <w:szCs w:val="23"/>
        </w:rPr>
        <w:t>One member of the PRC</w:t>
      </w:r>
    </w:p>
    <w:p w14:paraId="1C2CE01F" w14:textId="77777777" w:rsidR="00691284" w:rsidRDefault="00D375E3">
      <w:pPr>
        <w:numPr>
          <w:ilvl w:val="2"/>
          <w:numId w:val="11"/>
        </w:numPr>
        <w:spacing w:after="0"/>
        <w:rPr>
          <w:sz w:val="23"/>
          <w:szCs w:val="23"/>
        </w:rPr>
      </w:pPr>
      <w:r>
        <w:rPr>
          <w:color w:val="000000"/>
          <w:sz w:val="23"/>
          <w:szCs w:val="23"/>
        </w:rPr>
        <w:t>One member of NCCEH staff</w:t>
      </w:r>
    </w:p>
    <w:p w14:paraId="009ED6B7" w14:textId="77777777" w:rsidR="00691284" w:rsidRDefault="00D375E3">
      <w:pPr>
        <w:numPr>
          <w:ilvl w:val="2"/>
          <w:numId w:val="11"/>
        </w:numPr>
        <w:spacing w:after="0"/>
        <w:rPr>
          <w:sz w:val="23"/>
          <w:szCs w:val="23"/>
        </w:rPr>
      </w:pPr>
      <w:r>
        <w:rPr>
          <w:color w:val="000000"/>
          <w:sz w:val="23"/>
          <w:szCs w:val="23"/>
        </w:rPr>
        <w:t>Combined Scoring section scores are averaged.</w:t>
      </w:r>
    </w:p>
    <w:p w14:paraId="689FC899" w14:textId="77777777" w:rsidR="00691284" w:rsidRDefault="00D375E3">
      <w:pPr>
        <w:numPr>
          <w:ilvl w:val="2"/>
          <w:numId w:val="11"/>
        </w:numPr>
        <w:spacing w:after="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Threshold &amp; standards discrepancies are reconciled by an </w:t>
      </w:r>
      <w:r>
        <w:rPr>
          <w:color w:val="000000"/>
          <w:sz w:val="23"/>
          <w:szCs w:val="23"/>
        </w:rPr>
        <w:t>additional staff member.</w:t>
      </w:r>
    </w:p>
    <w:p w14:paraId="54DF9689" w14:textId="77777777" w:rsidR="00691284" w:rsidRDefault="00D375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>
        <w:rPr>
          <w:sz w:val="23"/>
          <w:szCs w:val="23"/>
        </w:rPr>
        <w:t>Staff Scoring section scored by NCCEH staff</w:t>
      </w:r>
    </w:p>
    <w:p w14:paraId="209EDBDD" w14:textId="77777777" w:rsidR="00691284" w:rsidRDefault="00D375E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Combined Scoring + Staff Scoring = Total Score</w:t>
      </w:r>
    </w:p>
    <w:p w14:paraId="09657BD0" w14:textId="77777777" w:rsidR="00691284" w:rsidRDefault="00691284">
      <w:pPr>
        <w:ind w:left="360"/>
        <w:rPr>
          <w:sz w:val="23"/>
          <w:szCs w:val="23"/>
        </w:rPr>
      </w:pPr>
    </w:p>
    <w:p w14:paraId="154B9BD4" w14:textId="77777777" w:rsidR="00691284" w:rsidRDefault="00D375E3">
      <w:pPr>
        <w:rPr>
          <w:b/>
          <w:sz w:val="23"/>
          <w:szCs w:val="23"/>
        </w:rPr>
      </w:pPr>
      <w:r>
        <w:rPr>
          <w:b/>
          <w:sz w:val="23"/>
          <w:szCs w:val="23"/>
        </w:rPr>
        <w:t>FY2023 CoC Application Summary</w:t>
      </w:r>
    </w:p>
    <w:p w14:paraId="10A5CF83" w14:textId="77777777" w:rsidR="00691284" w:rsidRDefault="00D375E3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4FAF01A7" wp14:editId="07DF3C04">
            <wp:extent cx="6366860" cy="2655326"/>
            <wp:effectExtent l="0" t="0" r="0" b="0"/>
            <wp:docPr id="1404704392" name="image9.png" descr="A white and blue list with black 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A white and blue list with black text&#10;&#10;Description automatically generated with medium confidenc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6860" cy="26553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16909C" w14:textId="77777777" w:rsidR="00691284" w:rsidRDefault="00D375E3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Renewal Project Scoring Overview</w:t>
      </w:r>
    </w:p>
    <w:p w14:paraId="30B6771B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Renewal project summary:</w:t>
      </w:r>
    </w:p>
    <w:p w14:paraId="630416C1" w14:textId="77777777" w:rsidR="00691284" w:rsidRDefault="00D375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27 renewal projects turned in </w:t>
      </w:r>
      <w:r>
        <w:rPr>
          <w:color w:val="000000"/>
          <w:sz w:val="23"/>
          <w:szCs w:val="23"/>
        </w:rPr>
        <w:t>applications.</w:t>
      </w:r>
    </w:p>
    <w:p w14:paraId="2EE9E30D" w14:textId="77777777" w:rsidR="00691284" w:rsidRDefault="00D375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(1) </w:t>
      </w:r>
      <w:r>
        <w:rPr>
          <w:color w:val="000000"/>
          <w:sz w:val="23"/>
          <w:szCs w:val="23"/>
        </w:rPr>
        <w:t>HMIS project (not scored)</w:t>
      </w:r>
    </w:p>
    <w:p w14:paraId="5DB823A4" w14:textId="77777777" w:rsidR="00691284" w:rsidRDefault="00D375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(1) </w:t>
      </w:r>
      <w:r>
        <w:rPr>
          <w:color w:val="000000"/>
          <w:sz w:val="23"/>
          <w:szCs w:val="23"/>
        </w:rPr>
        <w:t>SSO-Coordinated Entry project (not scored)</w:t>
      </w:r>
    </w:p>
    <w:p w14:paraId="7C3C3413" w14:textId="77777777" w:rsidR="00691284" w:rsidRDefault="00D375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(18) Permanent Supportive Housing projects</w:t>
      </w:r>
    </w:p>
    <w:p w14:paraId="2CA6B384" w14:textId="77777777" w:rsidR="00691284" w:rsidRDefault="00D375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(7) Rapid Rehousing projects</w:t>
      </w:r>
    </w:p>
    <w:p w14:paraId="1241971D" w14:textId="77777777" w:rsidR="00691284" w:rsidRDefault="00D375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>
        <w:rPr>
          <w:sz w:val="23"/>
          <w:szCs w:val="23"/>
        </w:rPr>
        <w:t>Scored renewal projects:</w:t>
      </w:r>
    </w:p>
    <w:p w14:paraId="794EE3F0" w14:textId="77777777" w:rsidR="00691284" w:rsidRDefault="00D375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(0) </w:t>
      </w:r>
      <w:r>
        <w:rPr>
          <w:color w:val="000000"/>
          <w:sz w:val="23"/>
          <w:szCs w:val="23"/>
        </w:rPr>
        <w:t>applications with threshold issues</w:t>
      </w:r>
    </w:p>
    <w:p w14:paraId="628B5510" w14:textId="77777777" w:rsidR="00691284" w:rsidRDefault="00D375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(16) applications were </w:t>
      </w:r>
      <w:r>
        <w:rPr>
          <w:color w:val="000000"/>
          <w:sz w:val="23"/>
          <w:szCs w:val="23"/>
        </w:rPr>
        <w:t>late or missing submission materials (Standard)</w:t>
      </w:r>
    </w:p>
    <w:p w14:paraId="164B2FCA" w14:textId="77777777" w:rsidR="00691284" w:rsidRDefault="00691284">
      <w:pPr>
        <w:ind w:firstLine="360"/>
        <w:rPr>
          <w:sz w:val="23"/>
          <w:szCs w:val="23"/>
        </w:rPr>
      </w:pPr>
    </w:p>
    <w:p w14:paraId="5D751E37" w14:textId="77777777" w:rsidR="00691284" w:rsidRDefault="00691284">
      <w:pPr>
        <w:ind w:firstLine="360"/>
        <w:rPr>
          <w:sz w:val="23"/>
          <w:szCs w:val="23"/>
        </w:rPr>
      </w:pPr>
    </w:p>
    <w:p w14:paraId="711508E8" w14:textId="77777777" w:rsidR="00691284" w:rsidRDefault="00691284">
      <w:pPr>
        <w:ind w:firstLine="360"/>
        <w:rPr>
          <w:sz w:val="23"/>
          <w:szCs w:val="23"/>
        </w:rPr>
      </w:pPr>
    </w:p>
    <w:p w14:paraId="4F039FD2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Renewal applicants missed a range of standards.</w:t>
      </w:r>
    </w:p>
    <w:p w14:paraId="591718B9" w14:textId="77777777" w:rsidR="00691284" w:rsidRDefault="00D375E3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1A0E0F7E" wp14:editId="2875046E">
            <wp:extent cx="5721644" cy="2286117"/>
            <wp:effectExtent l="0" t="0" r="0" b="0"/>
            <wp:docPr id="1404704395" name="image1.png" descr="A table with text and number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table with text and numbers&#10;&#10;Description automatically generated with medium confidenc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644" cy="2286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1C5E73" w14:textId="77777777" w:rsidR="00691284" w:rsidRDefault="00D375E3">
      <w:pPr>
        <w:rPr>
          <w:b/>
          <w:sz w:val="23"/>
          <w:szCs w:val="23"/>
        </w:rPr>
      </w:pPr>
      <w:r>
        <w:rPr>
          <w:b/>
          <w:sz w:val="23"/>
          <w:szCs w:val="23"/>
        </w:rPr>
        <w:t>New Project Review</w:t>
      </w:r>
    </w:p>
    <w:p w14:paraId="69605B89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Four new projects turned in applications.</w:t>
      </w:r>
    </w:p>
    <w:p w14:paraId="30A476FB" w14:textId="77777777" w:rsidR="00691284" w:rsidRDefault="00D375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(2) Rapid rehousing projects</w:t>
      </w:r>
    </w:p>
    <w:p w14:paraId="3075375A" w14:textId="77777777" w:rsidR="00691284" w:rsidRDefault="00D375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(1) </w:t>
      </w:r>
      <w:r>
        <w:rPr>
          <w:color w:val="000000"/>
          <w:sz w:val="23"/>
          <w:szCs w:val="23"/>
        </w:rPr>
        <w:t>HMIS expansion project</w:t>
      </w:r>
    </w:p>
    <w:p w14:paraId="1BD94C11" w14:textId="77777777" w:rsidR="00691284" w:rsidRDefault="00D375E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(1) </w:t>
      </w:r>
      <w:r>
        <w:rPr>
          <w:color w:val="000000"/>
          <w:sz w:val="23"/>
          <w:szCs w:val="23"/>
        </w:rPr>
        <w:t>DV Bonus project</w:t>
      </w:r>
    </w:p>
    <w:p w14:paraId="7A47EFE1" w14:textId="77777777" w:rsidR="00691284" w:rsidRDefault="00D375E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(1) </w:t>
      </w:r>
      <w:r>
        <w:rPr>
          <w:color w:val="000000"/>
          <w:sz w:val="23"/>
          <w:szCs w:val="23"/>
        </w:rPr>
        <w:t>SSO-CE</w:t>
      </w:r>
    </w:p>
    <w:p w14:paraId="34CA846C" w14:textId="77777777" w:rsidR="00691284" w:rsidRDefault="00D375E3">
      <w:pPr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New </w:t>
      </w:r>
      <w:r>
        <w:rPr>
          <w:sz w:val="23"/>
          <w:szCs w:val="23"/>
        </w:rPr>
        <w:t>project comparison</w:t>
      </w:r>
    </w:p>
    <w:p w14:paraId="5846FC79" w14:textId="77777777" w:rsidR="00691284" w:rsidRDefault="00D375E3">
      <w:pPr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 wp14:anchorId="2C37B785" wp14:editId="70882EB3">
            <wp:extent cx="6368833" cy="1377872"/>
            <wp:effectExtent l="0" t="0" r="0" b="0"/>
            <wp:docPr id="1404704394" name="image6.png" descr="A table with text and imag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table with text and images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8833" cy="1377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50949C" w14:textId="77777777" w:rsidR="00691284" w:rsidRDefault="00691284">
      <w:pPr>
        <w:rPr>
          <w:sz w:val="23"/>
          <w:szCs w:val="23"/>
        </w:rPr>
      </w:pPr>
    </w:p>
    <w:p w14:paraId="5FA39334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Most new applicants met all key thresholds and standards.</w:t>
      </w:r>
    </w:p>
    <w:p w14:paraId="2153146C" w14:textId="77777777" w:rsidR="00691284" w:rsidRDefault="00D375E3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33746A83" wp14:editId="1426E335">
            <wp:extent cx="5658141" cy="2254366"/>
            <wp:effectExtent l="0" t="0" r="0" b="0"/>
            <wp:docPr id="1404704397" name="image8.png" descr="A table with text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table with text on it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8141" cy="2254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43479B" w14:textId="77777777" w:rsidR="00691284" w:rsidRDefault="00D375E3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Ranking Options</w:t>
      </w:r>
    </w:p>
    <w:p w14:paraId="2F1ECD04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The PRC used timeliness &amp; historical precedent to order the final ranking list.</w:t>
      </w:r>
    </w:p>
    <w:p w14:paraId="4BABE5C6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The Project Review Committee used the timeliness &amp; completeness standard</w:t>
      </w:r>
      <w:r>
        <w:rPr>
          <w:sz w:val="23"/>
          <w:szCs w:val="23"/>
        </w:rPr>
        <w:t xml:space="preserve"> as the first way to order renewal projects in the ranking list.</w:t>
      </w:r>
    </w:p>
    <w:p w14:paraId="1C9AB62C" w14:textId="77777777" w:rsidR="00691284" w:rsidRDefault="00D37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 agencies with 16 projects submitted incomplete or late materials.</w:t>
      </w:r>
    </w:p>
    <w:p w14:paraId="764B7645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 xml:space="preserve">The Project Review Committee also used several historical precedents including some key standards to order the final ranking list. </w:t>
      </w:r>
    </w:p>
    <w:p w14:paraId="48052F6D" w14:textId="77777777" w:rsidR="00691284" w:rsidRDefault="00D37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Program Design Elements</w:t>
      </w:r>
    </w:p>
    <w:p w14:paraId="09F933E7" w14:textId="77777777" w:rsidR="00691284" w:rsidRDefault="00D375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Key Elements of Permanent Supportive Housing</w:t>
      </w:r>
    </w:p>
    <w:p w14:paraId="3848ED73" w14:textId="77777777" w:rsidR="00691284" w:rsidRDefault="00D375E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USICH Rapid Rehousing Benchmarks</w:t>
      </w:r>
    </w:p>
    <w:p w14:paraId="60CA2805" w14:textId="77777777" w:rsidR="00691284" w:rsidRDefault="00D375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Anti-Discrimination Po</w:t>
      </w:r>
      <w:r>
        <w:rPr>
          <w:sz w:val="23"/>
          <w:szCs w:val="23"/>
        </w:rPr>
        <w:t>licy adherence</w:t>
      </w:r>
    </w:p>
    <w:p w14:paraId="466E4073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Precedent 1: Infrastructure applications</w:t>
      </w:r>
    </w:p>
    <w:p w14:paraId="0EAB668E" w14:textId="77777777" w:rsidR="00691284" w:rsidRDefault="00D375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>
        <w:rPr>
          <w:sz w:val="23"/>
          <w:szCs w:val="23"/>
        </w:rPr>
        <w:t>CoC precedent is to rank the NC BoS CoC HMIS and Coordinated Entry renewal applications at the top of the ranking list.</w:t>
      </w:r>
    </w:p>
    <w:p w14:paraId="608A02D7" w14:textId="77777777" w:rsidR="00691284" w:rsidRDefault="00D375E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Protects required infrastructure</w:t>
      </w:r>
    </w:p>
    <w:p w14:paraId="299BE738" w14:textId="77777777" w:rsidR="00691284" w:rsidRDefault="00D375E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>
        <w:rPr>
          <w:color w:val="000000"/>
          <w:sz w:val="23"/>
          <w:szCs w:val="23"/>
        </w:rPr>
        <w:t>Funding Priorities document prioritizes infrastructure grants</w:t>
      </w:r>
    </w:p>
    <w:p w14:paraId="5D022583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br/>
        <w:t>Precedent 2: DV Bonus applications</w:t>
      </w:r>
    </w:p>
    <w:p w14:paraId="3665E815" w14:textId="46B5B24E" w:rsidR="00691284" w:rsidRDefault="00D375E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3"/>
          <w:szCs w:val="23"/>
        </w:rPr>
      </w:pPr>
      <w:r>
        <w:rPr>
          <w:sz w:val="23"/>
          <w:szCs w:val="23"/>
        </w:rPr>
        <w:t>CoC precedent is to rank</w:t>
      </w:r>
      <w:r>
        <w:rPr>
          <w:sz w:val="23"/>
          <w:szCs w:val="23"/>
        </w:rPr>
        <w:t xml:space="preserve"> DV Bonus projects at the bottom of the ranking list.</w:t>
      </w:r>
    </w:p>
    <w:p w14:paraId="7E855121" w14:textId="77777777" w:rsidR="00691284" w:rsidRDefault="00D375E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One application with far ranging impacts for DV survivors</w:t>
      </w:r>
    </w:p>
    <w:p w14:paraId="5B866795" w14:textId="77777777" w:rsidR="00691284" w:rsidRDefault="00D375E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NCCEH </w:t>
      </w:r>
      <w:r>
        <w:rPr>
          <w:color w:val="000000"/>
          <w:sz w:val="23"/>
          <w:szCs w:val="23"/>
        </w:rPr>
        <w:t>Supportive Services Only – Coordinated Entry</w:t>
      </w:r>
    </w:p>
    <w:p w14:paraId="4E409E10" w14:textId="77777777" w:rsidR="00691284" w:rsidRDefault="00D375E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Size could eliminate other projects, if higher in the ranking list</w:t>
      </w:r>
    </w:p>
    <w:p w14:paraId="1FFCAAF9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Precedent 3: Use Program Design Standards &amp; Anti-Discrimination Policy Standards to order renewal projects.</w:t>
      </w:r>
    </w:p>
    <w:p w14:paraId="3B37E029" w14:textId="77777777" w:rsidR="00691284" w:rsidRDefault="00D375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Pull up projects in groups for the n</w:t>
      </w:r>
      <w:r>
        <w:rPr>
          <w:sz w:val="23"/>
          <w:szCs w:val="23"/>
        </w:rPr>
        <w:t>umber of Key Elements of PSH or RRH Benchmarks met</w:t>
      </w:r>
    </w:p>
    <w:p w14:paraId="699F463B" w14:textId="77777777" w:rsidR="00691284" w:rsidRDefault="00D375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color w:val="000000"/>
          <w:sz w:val="23"/>
          <w:szCs w:val="23"/>
        </w:rPr>
        <w:t>Group by standards met and then ordered by point total</w:t>
      </w:r>
    </w:p>
    <w:p w14:paraId="1E562E43" w14:textId="77777777" w:rsidR="00691284" w:rsidRDefault="00D375E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sz w:val="23"/>
          <w:szCs w:val="23"/>
        </w:rPr>
        <w:t>Pull down projects missing the Anti-Discrimination Policy standard</w:t>
      </w:r>
    </w:p>
    <w:p w14:paraId="6B39783C" w14:textId="77777777" w:rsidR="00691284" w:rsidRDefault="00D375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color w:val="000000"/>
          <w:sz w:val="23"/>
          <w:szCs w:val="23"/>
        </w:rPr>
        <w:t>One agency with three projects</w:t>
      </w:r>
    </w:p>
    <w:p w14:paraId="16C682F8" w14:textId="77777777" w:rsidR="00691284" w:rsidRDefault="00D375E3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Community Link: Northern PSH, Piedmont 1 PSH, and </w:t>
      </w:r>
      <w:r>
        <w:rPr>
          <w:color w:val="000000"/>
          <w:sz w:val="23"/>
          <w:szCs w:val="23"/>
        </w:rPr>
        <w:t>PRC RRH</w:t>
      </w:r>
    </w:p>
    <w:p w14:paraId="589B3098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 xml:space="preserve">The PRC decided to reallocate the Community Link RRH renewal project due to performance &amp; standards issues.  </w:t>
      </w:r>
    </w:p>
    <w:p w14:paraId="54A42284" w14:textId="77777777" w:rsidR="00691284" w:rsidRDefault="00D375E3">
      <w:pPr>
        <w:numPr>
          <w:ilvl w:val="0"/>
          <w:numId w:val="9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The Project Review Committee reallocated the Community Link RRH renewal project due to:</w:t>
      </w:r>
    </w:p>
    <w:p w14:paraId="37CCFFFD" w14:textId="77777777" w:rsidR="00691284" w:rsidRDefault="00D375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Lowest scoring renewal project that was in operati</w:t>
      </w:r>
      <w:r>
        <w:rPr>
          <w:color w:val="000000"/>
          <w:sz w:val="23"/>
          <w:szCs w:val="23"/>
        </w:rPr>
        <w:t>on for at least one year</w:t>
      </w:r>
    </w:p>
    <w:p w14:paraId="4E85652D" w14:textId="77777777" w:rsidR="00691284" w:rsidRDefault="00D375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Missed 4/15 RRH program standards</w:t>
      </w:r>
    </w:p>
    <w:p w14:paraId="6E874823" w14:textId="77777777" w:rsidR="00691284" w:rsidRDefault="00D375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Missed Anti-Discrimination Policy adherence standard</w:t>
      </w:r>
    </w:p>
    <w:p w14:paraId="56E749EB" w14:textId="77777777" w:rsidR="00691284" w:rsidRDefault="00D375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Low performance scoring</w:t>
      </w:r>
    </w:p>
    <w:p w14:paraId="020BA919" w14:textId="77777777" w:rsidR="00691284" w:rsidRDefault="00D375E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Last renewal project on the ranked list with overall score lower than comparable new RRH applications</w:t>
      </w:r>
    </w:p>
    <w:p w14:paraId="1462C6B4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The PRC used the F</w:t>
      </w:r>
      <w:r>
        <w:rPr>
          <w:sz w:val="23"/>
          <w:szCs w:val="23"/>
        </w:rPr>
        <w:t>Y2023 CoC Program Funding Priorities document how to order &amp; choose new projects for the ranking list.</w:t>
      </w:r>
    </w:p>
    <w:p w14:paraId="2C6D97B9" w14:textId="77777777" w:rsidR="00691284" w:rsidRDefault="00D375E3">
      <w:pPr>
        <w:numPr>
          <w:ilvl w:val="0"/>
          <w:numId w:val="10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Per funding priorities, the PRC ranked the NCCEH HMIS expansion project as the first new project in Tier 2.</w:t>
      </w:r>
    </w:p>
    <w:p w14:paraId="036264C2" w14:textId="77777777" w:rsidR="00691284" w:rsidRDefault="00D375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Maintaining infrastructure is a top priority for the CoC</w:t>
      </w:r>
    </w:p>
    <w:p w14:paraId="70C02411" w14:textId="77777777" w:rsidR="00691284" w:rsidRDefault="00D375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NC BoS CoC has had a funding shortfall for the last two years to pay the HMIS Lead for access to HMIS@NCCEH.</w:t>
      </w:r>
    </w:p>
    <w:p w14:paraId="163485DB" w14:textId="77777777" w:rsidR="00691284" w:rsidRDefault="00D375E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NCCEH has filled this gap with returned annual ESG and ESG-CV funding, but these resou</w:t>
      </w:r>
      <w:r>
        <w:rPr>
          <w:color w:val="000000"/>
          <w:sz w:val="23"/>
          <w:szCs w:val="23"/>
        </w:rPr>
        <w:t>rces will not be available moving forward.</w:t>
      </w:r>
    </w:p>
    <w:p w14:paraId="77FFE8C3" w14:textId="77777777" w:rsidR="00691284" w:rsidRDefault="00D375E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CoC needs a sustainable resource to pay for increased HMIS costs.</w:t>
      </w:r>
    </w:p>
    <w:p w14:paraId="2F91889C" w14:textId="77777777" w:rsidR="00691284" w:rsidRDefault="00D375E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CoC has not increased the amount of HMIS since the original grant was awarded.</w:t>
      </w:r>
    </w:p>
    <w:p w14:paraId="7D32A79A" w14:textId="77777777" w:rsidR="00691284" w:rsidRDefault="00D375E3">
      <w:pPr>
        <w:numPr>
          <w:ilvl w:val="0"/>
          <w:numId w:val="10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lastRenderedPageBreak/>
        <w:t>The PRC chose to include the NC Office of Recovery &amp; Resilie</w:t>
      </w:r>
      <w:r>
        <w:rPr>
          <w:sz w:val="23"/>
          <w:szCs w:val="23"/>
        </w:rPr>
        <w:t>ncy RRH project as the final new project in the ranking list.</w:t>
      </w:r>
    </w:p>
    <w:p w14:paraId="1B54C478" w14:textId="77777777" w:rsidR="00691284" w:rsidRDefault="00D375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Met all RRH Program Standards &amp; Anti-Discrimination Policy</w:t>
      </w:r>
    </w:p>
    <w:p w14:paraId="1E01FD72" w14:textId="77777777" w:rsidR="00691284" w:rsidRDefault="00D375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Covers all 79 counties in the CoC</w:t>
      </w:r>
    </w:p>
    <w:p w14:paraId="4D64CDB0" w14:textId="77777777" w:rsidR="00691284" w:rsidRDefault="00D375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Ability to bring housing &amp; healthcare leverage, which will add points to the CoC Consolidated Application, increasing the chances of more Tier 2 awards</w:t>
      </w:r>
    </w:p>
    <w:p w14:paraId="2F33B985" w14:textId="77777777" w:rsidR="00691284" w:rsidRDefault="00D375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Adds capacity to Back@Home Balance of State rehousing program</w:t>
      </w:r>
    </w:p>
    <w:p w14:paraId="6E610253" w14:textId="77777777" w:rsidR="00691284" w:rsidRDefault="00D375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Includes Regions 5 &amp; 11</w:t>
      </w:r>
    </w:p>
    <w:p w14:paraId="1AA31048" w14:textId="77777777" w:rsidR="00691284" w:rsidRDefault="00D375E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New Trillium RRH #</w:t>
      </w:r>
      <w:r>
        <w:rPr>
          <w:color w:val="000000"/>
          <w:sz w:val="23"/>
          <w:szCs w:val="23"/>
        </w:rPr>
        <w:t>2 project application to cover R11 not included in the ranking list</w:t>
      </w:r>
    </w:p>
    <w:p w14:paraId="7CB463CF" w14:textId="77777777" w:rsidR="00691284" w:rsidRDefault="00D375E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Renewal Community Link RRH project application to cover R05 not included in the ranking list</w:t>
      </w:r>
    </w:p>
    <w:p w14:paraId="2F65EB3F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The PRC final Tier 2 ranking list includes two new projects.</w:t>
      </w:r>
    </w:p>
    <w:p w14:paraId="73FE8ADA" w14:textId="77777777" w:rsidR="00691284" w:rsidRDefault="00D375E3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32E723E6" wp14:editId="6858F882">
            <wp:extent cx="6991809" cy="2745181"/>
            <wp:effectExtent l="0" t="0" r="0" b="0"/>
            <wp:docPr id="1404704396" name="image3.png" descr="A screenshot of a compu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computer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809" cy="2745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21CB87" w14:textId="77777777" w:rsidR="00691284" w:rsidRDefault="00D375E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Final Recommended </w:t>
      </w:r>
      <w:r>
        <w:rPr>
          <w:b/>
          <w:sz w:val="23"/>
          <w:szCs w:val="23"/>
        </w:rPr>
        <w:t>Prioritization Ranking List</w:t>
      </w:r>
    </w:p>
    <w:p w14:paraId="3689B71C" w14:textId="77777777" w:rsidR="00691284" w:rsidRDefault="00D375E3">
      <w:pPr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lastRenderedPageBreak/>
        <w:drawing>
          <wp:inline distT="0" distB="0" distL="0" distR="0" wp14:anchorId="384277C8" wp14:editId="68FA045A">
            <wp:extent cx="6691428" cy="3270650"/>
            <wp:effectExtent l="0" t="0" r="0" b="0"/>
            <wp:docPr id="1404704399" name="image7.png" descr="A screenshot of a docume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A screenshot of a document&#10;&#10;Description automatically generated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1428" cy="327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42886F" w14:textId="77777777" w:rsidR="00691284" w:rsidRDefault="00D375E3">
      <w:pPr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 wp14:anchorId="5A85E296" wp14:editId="5D5271ED">
            <wp:extent cx="6596063" cy="3414308"/>
            <wp:effectExtent l="0" t="0" r="0" b="0"/>
            <wp:docPr id="1404704398" name="image2.png" descr="A screenshot of a computer scree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omputer screen&#10;&#10;Description automatically generated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6063" cy="3414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78ED4D" w14:textId="77777777" w:rsidR="00691284" w:rsidRDefault="00691284">
      <w:pPr>
        <w:rPr>
          <w:b/>
          <w:sz w:val="23"/>
          <w:szCs w:val="23"/>
        </w:rPr>
      </w:pPr>
    </w:p>
    <w:p w14:paraId="5D34A127" w14:textId="77777777" w:rsidR="00691284" w:rsidRDefault="00D375E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first 11 projects met the timeliness standard and were pulled up. </w:t>
      </w:r>
    </w:p>
    <w:p w14:paraId="47172A83" w14:textId="77777777" w:rsidR="00691284" w:rsidRDefault="00D375E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25 &amp; 26 were pulled down as they did not meet the Anti-Discrimination Policy standard. </w:t>
      </w:r>
    </w:p>
    <w:p w14:paraId="5EC6B928" w14:textId="77777777" w:rsidR="00691284" w:rsidRDefault="00691284">
      <w:pPr>
        <w:rPr>
          <w:sz w:val="23"/>
          <w:szCs w:val="23"/>
        </w:rPr>
      </w:pPr>
    </w:p>
    <w:p w14:paraId="08BA1E02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 xml:space="preserve">Questions: </w:t>
      </w:r>
    </w:p>
    <w:p w14:paraId="671DEA79" w14:textId="77777777" w:rsidR="00691284" w:rsidRDefault="00D375E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Derek Lancour requested to go back 1 slide to view the first half of the ranking list. </w:t>
      </w:r>
    </w:p>
    <w:p w14:paraId="01B90332" w14:textId="77777777" w:rsidR="00691284" w:rsidRDefault="00D375E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Alyce Knaflich</w:t>
      </w:r>
      <w:r>
        <w:rPr>
          <w:color w:val="000000"/>
          <w:sz w:val="23"/>
          <w:szCs w:val="23"/>
        </w:rPr>
        <w:t xml:space="preserve"> – should the amounts for Community Link be zero? Answer – this is an internal document and amounts are listed for reference. </w:t>
      </w:r>
    </w:p>
    <w:p w14:paraId="31BC4379" w14:textId="77777777" w:rsidR="00691284" w:rsidRDefault="00D375E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Dr. Dia Thomas move</w:t>
      </w:r>
      <w:r>
        <w:rPr>
          <w:sz w:val="23"/>
          <w:szCs w:val="23"/>
        </w:rPr>
        <w:t>d</w:t>
      </w:r>
      <w:r>
        <w:rPr>
          <w:color w:val="000000"/>
          <w:sz w:val="23"/>
          <w:szCs w:val="23"/>
        </w:rPr>
        <w:t xml:space="preserve"> to accept the NC BoS CoC PRC</w:t>
      </w:r>
      <w:r>
        <w:rPr>
          <w:sz w:val="23"/>
          <w:szCs w:val="23"/>
        </w:rPr>
        <w:t xml:space="preserve">’s </w:t>
      </w:r>
      <w:r>
        <w:rPr>
          <w:color w:val="000000"/>
          <w:sz w:val="23"/>
          <w:szCs w:val="23"/>
        </w:rPr>
        <w:t xml:space="preserve">recommended prioritization ranking list for the </w:t>
      </w:r>
      <w:r>
        <w:rPr>
          <w:sz w:val="23"/>
          <w:szCs w:val="23"/>
        </w:rPr>
        <w:t xml:space="preserve">FY23 CoC Competition. </w:t>
      </w:r>
      <w:r>
        <w:rPr>
          <w:color w:val="000000"/>
          <w:sz w:val="23"/>
          <w:szCs w:val="23"/>
        </w:rPr>
        <w:t>Lisa Ph</w:t>
      </w:r>
      <w:r>
        <w:rPr>
          <w:color w:val="000000"/>
          <w:sz w:val="23"/>
          <w:szCs w:val="23"/>
        </w:rPr>
        <w:t>illips second</w:t>
      </w:r>
      <w:r>
        <w:rPr>
          <w:sz w:val="23"/>
          <w:szCs w:val="23"/>
        </w:rPr>
        <w:t>ed the motion. The motion was unanimously  approved.</w:t>
      </w:r>
    </w:p>
    <w:p w14:paraId="1E75362E" w14:textId="77777777" w:rsidR="00691284" w:rsidRDefault="0069128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3"/>
          <w:szCs w:val="23"/>
        </w:rPr>
      </w:pPr>
    </w:p>
    <w:p w14:paraId="11AC3631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Next Steps: Notification &amp; Appeal Process</w:t>
      </w:r>
    </w:p>
    <w:p w14:paraId="16A7A11D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Staff will notify applicants regarding decisions by the end of the day.</w:t>
      </w:r>
    </w:p>
    <w:p w14:paraId="37DC8890" w14:textId="77777777" w:rsidR="00691284" w:rsidRDefault="00D375E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Staff will send scorecards to applicants &amp; offer follow-up calls after the </w:t>
      </w:r>
      <w:r>
        <w:rPr>
          <w:color w:val="000000"/>
          <w:sz w:val="23"/>
          <w:szCs w:val="23"/>
        </w:rPr>
        <w:t xml:space="preserve">competition. </w:t>
      </w:r>
    </w:p>
    <w:p w14:paraId="226FCA8A" w14:textId="77777777" w:rsidR="00691284" w:rsidRDefault="00D375E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Applicants whose projects were not included in the final Prioritization Ranking List can appeal decisions.</w:t>
      </w:r>
    </w:p>
    <w:p w14:paraId="35B9DBE3" w14:textId="77777777" w:rsidR="00691284" w:rsidRDefault="00D375E3">
      <w:pPr>
        <w:rPr>
          <w:sz w:val="23"/>
          <w:szCs w:val="23"/>
        </w:rPr>
      </w:pPr>
      <w:r>
        <w:rPr>
          <w:sz w:val="23"/>
          <w:szCs w:val="23"/>
        </w:rPr>
        <w:t>Appeals Process</w:t>
      </w:r>
    </w:p>
    <w:p w14:paraId="36355F71" w14:textId="77777777" w:rsidR="00691284" w:rsidRDefault="00D375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Appeal documentation due to NCCEH by Thursday, August 24th at 12 PM</w:t>
      </w:r>
    </w:p>
    <w:p w14:paraId="389B52EF" w14:textId="77777777" w:rsidR="00691284" w:rsidRDefault="00D375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If appeals are submitted, the PRC will meet on </w:t>
      </w:r>
      <w:r>
        <w:rPr>
          <w:color w:val="000000"/>
          <w:sz w:val="23"/>
          <w:szCs w:val="23"/>
        </w:rPr>
        <w:t>Friday, August 25th to consider information.</w:t>
      </w:r>
    </w:p>
    <w:p w14:paraId="39C96F58" w14:textId="77777777" w:rsidR="00691284" w:rsidRDefault="00D375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If the PRC recommends overturning a decision, the Steering Committee will consider approval </w:t>
      </w:r>
      <w:r>
        <w:rPr>
          <w:sz w:val="23"/>
          <w:szCs w:val="23"/>
        </w:rPr>
        <w:t>of an updated</w:t>
      </w:r>
      <w:r>
        <w:rPr>
          <w:color w:val="000000"/>
          <w:sz w:val="23"/>
          <w:szCs w:val="23"/>
        </w:rPr>
        <w:t xml:space="preserve"> prioritization ranking list on Tuesday, August 29th at 10:30 AM.</w:t>
      </w:r>
    </w:p>
    <w:p w14:paraId="7FC1589C" w14:textId="77777777" w:rsidR="00691284" w:rsidRDefault="00691284">
      <w:pPr>
        <w:rPr>
          <w:b/>
          <w:sz w:val="23"/>
          <w:szCs w:val="23"/>
        </w:rPr>
      </w:pPr>
    </w:p>
    <w:p w14:paraId="37714A1D" w14:textId="77777777" w:rsidR="00691284" w:rsidRDefault="00D375E3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Next Steering Committee meeting</w:t>
      </w:r>
    </w:p>
    <w:p w14:paraId="103514AD" w14:textId="77777777" w:rsidR="00691284" w:rsidRDefault="00D375E3">
      <w:pPr>
        <w:jc w:val="center"/>
        <w:rPr>
          <w:sz w:val="23"/>
          <w:szCs w:val="23"/>
        </w:rPr>
      </w:pPr>
      <w:r>
        <w:rPr>
          <w:i/>
          <w:sz w:val="23"/>
          <w:szCs w:val="23"/>
        </w:rPr>
        <w:t>[TENTAT</w:t>
      </w:r>
      <w:r>
        <w:rPr>
          <w:i/>
          <w:sz w:val="23"/>
          <w:szCs w:val="23"/>
        </w:rPr>
        <w:t>IVE]</w:t>
      </w:r>
      <w:r>
        <w:rPr>
          <w:sz w:val="23"/>
          <w:szCs w:val="23"/>
        </w:rPr>
        <w:t xml:space="preserve"> CoC Appeals Meeting: Tuesday, August 29, 10:30 – 11:30 A.M.</w:t>
      </w:r>
    </w:p>
    <w:p w14:paraId="5F66F807" w14:textId="77777777" w:rsidR="00691284" w:rsidRDefault="00691284">
      <w:pPr>
        <w:jc w:val="center"/>
        <w:rPr>
          <w:sz w:val="23"/>
          <w:szCs w:val="23"/>
        </w:rPr>
      </w:pPr>
    </w:p>
    <w:p w14:paraId="0C4613D1" w14:textId="77777777" w:rsidR="00691284" w:rsidRDefault="00D375E3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NEXT REGULAR STEERING COMMITTEE MEETING:</w:t>
      </w:r>
      <w:r>
        <w:rPr>
          <w:sz w:val="23"/>
          <w:szCs w:val="23"/>
        </w:rPr>
        <w:t xml:space="preserve"> </w:t>
      </w:r>
    </w:p>
    <w:p w14:paraId="7772E248" w14:textId="77777777" w:rsidR="00691284" w:rsidRDefault="00D375E3">
      <w:pPr>
        <w:jc w:val="center"/>
        <w:rPr>
          <w:sz w:val="23"/>
          <w:szCs w:val="23"/>
        </w:rPr>
      </w:pPr>
      <w:r>
        <w:rPr>
          <w:sz w:val="23"/>
          <w:szCs w:val="23"/>
        </w:rPr>
        <w:t>Tuesday, September 12, 2023, at 10:30 A.M.</w:t>
      </w:r>
    </w:p>
    <w:p w14:paraId="0D5FEE8D" w14:textId="77777777" w:rsidR="00691284" w:rsidRDefault="00691284">
      <w:pPr>
        <w:jc w:val="center"/>
        <w:rPr>
          <w:b/>
          <w:sz w:val="23"/>
          <w:szCs w:val="23"/>
        </w:rPr>
      </w:pPr>
    </w:p>
    <w:sectPr w:rsidR="00691284">
      <w:footerReference w:type="default" r:id="rId20"/>
      <w:footerReference w:type="first" r:id="rId21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B2F0" w14:textId="77777777" w:rsidR="001876B5" w:rsidRDefault="001876B5">
      <w:pPr>
        <w:spacing w:after="0" w:line="240" w:lineRule="auto"/>
      </w:pPr>
      <w:r>
        <w:separator/>
      </w:r>
    </w:p>
  </w:endnote>
  <w:endnote w:type="continuationSeparator" w:id="0">
    <w:p w14:paraId="4F849389" w14:textId="77777777" w:rsidR="001876B5" w:rsidRDefault="0018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6CE4" w14:textId="77777777" w:rsidR="00691284" w:rsidRDefault="00D375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FA168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A1681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04923B34" w14:textId="77777777" w:rsidR="00691284" w:rsidRDefault="006912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601F" w14:textId="77777777" w:rsidR="00691284" w:rsidRDefault="00D375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FA168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A168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FBC3824" w14:textId="77777777" w:rsidR="00691284" w:rsidRDefault="006912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F850" w14:textId="77777777" w:rsidR="001876B5" w:rsidRDefault="001876B5">
      <w:pPr>
        <w:spacing w:after="0" w:line="240" w:lineRule="auto"/>
      </w:pPr>
      <w:r>
        <w:separator/>
      </w:r>
    </w:p>
  </w:footnote>
  <w:footnote w:type="continuationSeparator" w:id="0">
    <w:p w14:paraId="4F78D824" w14:textId="77777777" w:rsidR="001876B5" w:rsidRDefault="00187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A86"/>
    <w:multiLevelType w:val="multilevel"/>
    <w:tmpl w:val="52724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261EB"/>
    <w:multiLevelType w:val="multilevel"/>
    <w:tmpl w:val="6A081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472F26"/>
    <w:multiLevelType w:val="multilevel"/>
    <w:tmpl w:val="EAE01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685CC6"/>
    <w:multiLevelType w:val="multilevel"/>
    <w:tmpl w:val="A7CA6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800FED"/>
    <w:multiLevelType w:val="multilevel"/>
    <w:tmpl w:val="787CB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825EA0"/>
    <w:multiLevelType w:val="multilevel"/>
    <w:tmpl w:val="F8986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9C733D"/>
    <w:multiLevelType w:val="multilevel"/>
    <w:tmpl w:val="8236C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DA25FE"/>
    <w:multiLevelType w:val="multilevel"/>
    <w:tmpl w:val="592A0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5F118E"/>
    <w:multiLevelType w:val="multilevel"/>
    <w:tmpl w:val="45DED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E304FC"/>
    <w:multiLevelType w:val="multilevel"/>
    <w:tmpl w:val="E2C4F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8965A1"/>
    <w:multiLevelType w:val="multilevel"/>
    <w:tmpl w:val="5BDA47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E5389E"/>
    <w:multiLevelType w:val="multilevel"/>
    <w:tmpl w:val="7E564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CF4DE8"/>
    <w:multiLevelType w:val="multilevel"/>
    <w:tmpl w:val="05AAB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7B5AAD"/>
    <w:multiLevelType w:val="multilevel"/>
    <w:tmpl w:val="C91E2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0B1502"/>
    <w:multiLevelType w:val="multilevel"/>
    <w:tmpl w:val="5A40E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971F04"/>
    <w:multiLevelType w:val="multilevel"/>
    <w:tmpl w:val="0B5E6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654124"/>
    <w:multiLevelType w:val="multilevel"/>
    <w:tmpl w:val="75BC1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2354835">
    <w:abstractNumId w:val="0"/>
  </w:num>
  <w:num w:numId="2" w16cid:durableId="1995527853">
    <w:abstractNumId w:val="4"/>
  </w:num>
  <w:num w:numId="3" w16cid:durableId="1662390826">
    <w:abstractNumId w:val="11"/>
  </w:num>
  <w:num w:numId="4" w16cid:durableId="1825929554">
    <w:abstractNumId w:val="6"/>
  </w:num>
  <w:num w:numId="5" w16cid:durableId="850416233">
    <w:abstractNumId w:val="12"/>
  </w:num>
  <w:num w:numId="6" w16cid:durableId="822545706">
    <w:abstractNumId w:val="5"/>
  </w:num>
  <w:num w:numId="7" w16cid:durableId="5795090">
    <w:abstractNumId w:val="3"/>
  </w:num>
  <w:num w:numId="8" w16cid:durableId="1162427612">
    <w:abstractNumId w:val="15"/>
  </w:num>
  <w:num w:numId="9" w16cid:durableId="2109308304">
    <w:abstractNumId w:val="2"/>
  </w:num>
  <w:num w:numId="10" w16cid:durableId="1578904588">
    <w:abstractNumId w:val="1"/>
  </w:num>
  <w:num w:numId="11" w16cid:durableId="929654751">
    <w:abstractNumId w:val="9"/>
  </w:num>
  <w:num w:numId="12" w16cid:durableId="1558475073">
    <w:abstractNumId w:val="8"/>
  </w:num>
  <w:num w:numId="13" w16cid:durableId="1153983328">
    <w:abstractNumId w:val="10"/>
  </w:num>
  <w:num w:numId="14" w16cid:durableId="1711999819">
    <w:abstractNumId w:val="7"/>
  </w:num>
  <w:num w:numId="15" w16cid:durableId="1024399140">
    <w:abstractNumId w:val="14"/>
  </w:num>
  <w:num w:numId="16" w16cid:durableId="1758749406">
    <w:abstractNumId w:val="16"/>
  </w:num>
  <w:num w:numId="17" w16cid:durableId="1545673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84"/>
    <w:rsid w:val="000010AC"/>
    <w:rsid w:val="001876B5"/>
    <w:rsid w:val="00691284"/>
    <w:rsid w:val="00D375E3"/>
    <w:rsid w:val="00DF36DB"/>
    <w:rsid w:val="00F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C09B"/>
  <w15:docId w15:val="{D8EF0214-67AF-4B33-B517-BC7A72EF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24"/>
  </w:style>
  <w:style w:type="paragraph" w:styleId="Heading1">
    <w:name w:val="heading 1"/>
    <w:basedOn w:val="Normal"/>
    <w:next w:val="Normal"/>
    <w:link w:val="Heading1Char"/>
    <w:uiPriority w:val="9"/>
    <w:qFormat/>
    <w:rsid w:val="00A61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C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6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6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6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6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6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6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6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87E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6872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B33F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BA7E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0B67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16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61698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61698"/>
    <w:pPr>
      <w:spacing w:after="100" w:line="259" w:lineRule="auto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61698"/>
    <w:pPr>
      <w:spacing w:after="100" w:line="259" w:lineRule="auto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A61698"/>
    <w:pPr>
      <w:spacing w:after="100" w:line="259" w:lineRule="auto"/>
      <w:ind w:left="440"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A0C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6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6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67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6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6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6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6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A30799"/>
  </w:style>
  <w:style w:type="character" w:customStyle="1" w:styleId="eop">
    <w:name w:val="eop"/>
    <w:basedOn w:val="DefaultParagraphFont"/>
    <w:rsid w:val="00A3079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y3kMh9UeZSYNeEK1hhqWDjkZw==">CgMxLjAyCGguZ2pkZ3hzMgloLjMwajB6bGw4AHIhMW1iTWRvVC12Si0zVHVUaHIxeFBuZVBXTEZYLVRLaU1p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Adriana Diaz</cp:lastModifiedBy>
  <cp:revision>3</cp:revision>
  <dcterms:created xsi:type="dcterms:W3CDTF">2023-08-28T14:36:00Z</dcterms:created>
  <dcterms:modified xsi:type="dcterms:W3CDTF">2023-08-28T14:36:00Z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0x010100183343B29D36814EA8CA62644496E81B</vt:lpwstr>
  </property>
</Properties>
</file>