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8A" w:rsidRPr="00937BCE" w:rsidRDefault="00595555" w:rsidP="00595555">
      <w:pPr>
        <w:jc w:val="center"/>
        <w:rPr>
          <w:b/>
          <w:sz w:val="32"/>
          <w:szCs w:val="32"/>
        </w:rPr>
      </w:pPr>
      <w:proofErr w:type="spellStart"/>
      <w:r w:rsidRPr="00937BCE">
        <w:rPr>
          <w:b/>
          <w:sz w:val="32"/>
          <w:szCs w:val="32"/>
        </w:rPr>
        <w:t>CoC</w:t>
      </w:r>
      <w:proofErr w:type="spellEnd"/>
      <w:r w:rsidRPr="00937BCE">
        <w:rPr>
          <w:b/>
          <w:sz w:val="32"/>
          <w:szCs w:val="32"/>
        </w:rPr>
        <w:t xml:space="preserve"> Program Environmental Review </w:t>
      </w:r>
      <w:r w:rsidR="003F424D">
        <w:rPr>
          <w:b/>
          <w:sz w:val="32"/>
          <w:szCs w:val="32"/>
        </w:rPr>
        <w:t xml:space="preserve">(ER) </w:t>
      </w:r>
      <w:r w:rsidRPr="00937BCE">
        <w:rPr>
          <w:b/>
          <w:sz w:val="32"/>
          <w:szCs w:val="32"/>
        </w:rPr>
        <w:t>Tips and Resources</w:t>
      </w:r>
    </w:p>
    <w:p w:rsidR="00937BCE" w:rsidRPr="00937BCE" w:rsidRDefault="00937BCE" w:rsidP="00937BCE">
      <w:pPr>
        <w:rPr>
          <w:b/>
          <w:sz w:val="28"/>
          <w:szCs w:val="28"/>
          <w:u w:val="single"/>
        </w:rPr>
      </w:pPr>
      <w:r w:rsidRPr="00937BCE">
        <w:rPr>
          <w:b/>
          <w:sz w:val="28"/>
          <w:szCs w:val="28"/>
          <w:u w:val="single"/>
        </w:rPr>
        <w:t>Tips</w:t>
      </w:r>
    </w:p>
    <w:p w:rsidR="00595555" w:rsidRPr="00937BCE" w:rsidRDefault="00595555" w:rsidP="00937BCE">
      <w:pPr>
        <w:spacing w:after="0" w:line="240" w:lineRule="auto"/>
        <w:rPr>
          <w:b/>
          <w:sz w:val="24"/>
          <w:szCs w:val="24"/>
        </w:rPr>
      </w:pPr>
      <w:r w:rsidRPr="00937BCE">
        <w:rPr>
          <w:b/>
          <w:sz w:val="24"/>
          <w:szCs w:val="24"/>
        </w:rPr>
        <w:t>Most commonly-used</w:t>
      </w:r>
      <w:r w:rsidR="003F424D">
        <w:rPr>
          <w:b/>
          <w:sz w:val="24"/>
          <w:szCs w:val="24"/>
        </w:rPr>
        <w:t xml:space="preserve"> ERs</w:t>
      </w:r>
      <w:r w:rsidRPr="00937BCE">
        <w:rPr>
          <w:b/>
          <w:sz w:val="24"/>
          <w:szCs w:val="24"/>
        </w:rPr>
        <w:t>:</w:t>
      </w:r>
    </w:p>
    <w:p w:rsidR="00937BCE" w:rsidRPr="00937BCE" w:rsidRDefault="00937BCE" w:rsidP="00937BCE">
      <w:pPr>
        <w:pStyle w:val="ListParagraph"/>
        <w:numPr>
          <w:ilvl w:val="0"/>
          <w:numId w:val="4"/>
        </w:numPr>
        <w:spacing w:after="0" w:line="240" w:lineRule="auto"/>
        <w:rPr>
          <w:sz w:val="20"/>
          <w:szCs w:val="20"/>
        </w:rPr>
      </w:pPr>
      <w:r w:rsidRPr="00937BCE">
        <w:rPr>
          <w:sz w:val="20"/>
          <w:szCs w:val="20"/>
        </w:rPr>
        <w:t>Exempt/CENST (tenant-based leasing or rental assistance</w:t>
      </w:r>
      <w:r>
        <w:rPr>
          <w:sz w:val="20"/>
          <w:szCs w:val="20"/>
        </w:rPr>
        <w:t>; operating; supportive services only; HMIS</w:t>
      </w:r>
      <w:r w:rsidRPr="00937BCE">
        <w:rPr>
          <w:sz w:val="20"/>
          <w:szCs w:val="20"/>
        </w:rPr>
        <w:t>)</w:t>
      </w:r>
    </w:p>
    <w:p w:rsidR="00937BCE" w:rsidRPr="00937BCE" w:rsidRDefault="00937BCE" w:rsidP="00937BCE">
      <w:pPr>
        <w:pStyle w:val="ListParagraph"/>
        <w:numPr>
          <w:ilvl w:val="0"/>
          <w:numId w:val="4"/>
        </w:numPr>
        <w:rPr>
          <w:sz w:val="20"/>
          <w:szCs w:val="20"/>
        </w:rPr>
      </w:pPr>
      <w:r w:rsidRPr="00937BCE">
        <w:rPr>
          <w:sz w:val="20"/>
          <w:szCs w:val="20"/>
        </w:rPr>
        <w:t>CEST “Limited Scope” Review (project-based or sponsor-based leasing or rental assistance)</w:t>
      </w:r>
    </w:p>
    <w:p w:rsidR="00595555" w:rsidRPr="00937BCE" w:rsidRDefault="00595555" w:rsidP="00937BCE">
      <w:pPr>
        <w:spacing w:after="0" w:line="240" w:lineRule="auto"/>
        <w:rPr>
          <w:b/>
          <w:sz w:val="24"/>
          <w:szCs w:val="24"/>
        </w:rPr>
      </w:pPr>
      <w:r w:rsidRPr="00937BCE">
        <w:rPr>
          <w:b/>
          <w:sz w:val="24"/>
          <w:szCs w:val="24"/>
        </w:rPr>
        <w:t>Less commonly-used</w:t>
      </w:r>
      <w:r w:rsidR="003F424D">
        <w:rPr>
          <w:b/>
          <w:sz w:val="24"/>
          <w:szCs w:val="24"/>
        </w:rPr>
        <w:t xml:space="preserve"> ERs</w:t>
      </w:r>
      <w:r w:rsidRPr="00937BCE">
        <w:rPr>
          <w:b/>
          <w:sz w:val="24"/>
          <w:szCs w:val="24"/>
        </w:rPr>
        <w:t>:</w:t>
      </w:r>
    </w:p>
    <w:p w:rsidR="00595555" w:rsidRDefault="00937BCE" w:rsidP="00937BCE">
      <w:pPr>
        <w:pStyle w:val="ListParagraph"/>
        <w:numPr>
          <w:ilvl w:val="0"/>
          <w:numId w:val="5"/>
        </w:numPr>
        <w:spacing w:after="0" w:line="240" w:lineRule="auto"/>
      </w:pPr>
      <w:r w:rsidRPr="00937BCE">
        <w:t>Environmental assessment (major rehabilitation, conversion, or demolition/ new construction of more than four units)</w:t>
      </w:r>
    </w:p>
    <w:p w:rsidR="00937BCE" w:rsidRPr="00937BCE" w:rsidRDefault="00937BCE" w:rsidP="00937BCE">
      <w:pPr>
        <w:pStyle w:val="ListParagraph"/>
        <w:numPr>
          <w:ilvl w:val="0"/>
          <w:numId w:val="5"/>
        </w:numPr>
        <w:rPr>
          <w:sz w:val="20"/>
          <w:szCs w:val="20"/>
        </w:rPr>
      </w:pPr>
      <w:r w:rsidRPr="00937BCE">
        <w:rPr>
          <w:sz w:val="20"/>
          <w:szCs w:val="20"/>
        </w:rPr>
        <w:t>CEST (for projects not covered by other review types)</w:t>
      </w:r>
      <w:r>
        <w:rPr>
          <w:sz w:val="20"/>
          <w:szCs w:val="20"/>
        </w:rPr>
        <w:t xml:space="preserve"> (rarely used)</w:t>
      </w:r>
    </w:p>
    <w:p w:rsidR="003F424D" w:rsidRPr="003F424D" w:rsidRDefault="003F424D" w:rsidP="003F424D">
      <w:pPr>
        <w:rPr>
          <w:b/>
          <w:bCs/>
          <w:sz w:val="24"/>
          <w:szCs w:val="24"/>
        </w:rPr>
      </w:pPr>
      <w:r w:rsidRPr="003F424D">
        <w:rPr>
          <w:b/>
          <w:bCs/>
          <w:sz w:val="24"/>
          <w:szCs w:val="24"/>
        </w:rPr>
        <w:t xml:space="preserve">What to review for </w:t>
      </w:r>
      <w:r w:rsidRPr="003F424D">
        <w:rPr>
          <w:b/>
          <w:sz w:val="24"/>
          <w:szCs w:val="24"/>
        </w:rPr>
        <w:t>Exempt/</w:t>
      </w:r>
      <w:proofErr w:type="gramStart"/>
      <w:r w:rsidRPr="003F424D">
        <w:rPr>
          <w:b/>
          <w:sz w:val="24"/>
          <w:szCs w:val="24"/>
        </w:rPr>
        <w:t>CENST</w:t>
      </w:r>
      <w:r w:rsidRPr="003F424D">
        <w:rPr>
          <w:b/>
          <w:bCs/>
          <w:sz w:val="24"/>
          <w:szCs w:val="24"/>
        </w:rPr>
        <w:t>:</w:t>
      </w:r>
      <w:proofErr w:type="gramEnd"/>
    </w:p>
    <w:p w:rsidR="003F424D" w:rsidRDefault="003F424D" w:rsidP="003F424D">
      <w:pPr>
        <w:rPr>
          <w:color w:val="000000"/>
        </w:rPr>
      </w:pPr>
      <w:r>
        <w:rPr>
          <w:color w:val="000000"/>
        </w:rPr>
        <w:t>The review should first cover all of the anticipated CENST units for the program via completion of the following process:</w:t>
      </w:r>
    </w:p>
    <w:p w:rsidR="003F424D" w:rsidRDefault="003F424D" w:rsidP="003F424D">
      <w:pPr>
        <w:pStyle w:val="ListParagraph"/>
        <w:numPr>
          <w:ilvl w:val="0"/>
          <w:numId w:val="6"/>
        </w:numPr>
        <w:spacing w:after="0" w:line="240" w:lineRule="auto"/>
        <w:contextualSpacing w:val="0"/>
        <w:rPr>
          <w:color w:val="000000"/>
        </w:rPr>
      </w:pPr>
      <w:r>
        <w:rPr>
          <w:color w:val="000000"/>
        </w:rPr>
        <w:t xml:space="preserve">List the apartment complexes, boarding houses, etc. where tenants have stayed in the past.  </w:t>
      </w:r>
    </w:p>
    <w:p w:rsidR="003F424D" w:rsidRDefault="003F424D" w:rsidP="003F424D">
      <w:pPr>
        <w:pStyle w:val="ListParagraph"/>
        <w:numPr>
          <w:ilvl w:val="0"/>
          <w:numId w:val="6"/>
        </w:numPr>
        <w:spacing w:after="0" w:line="240" w:lineRule="auto"/>
        <w:contextualSpacing w:val="0"/>
        <w:rPr>
          <w:color w:val="000000"/>
        </w:rPr>
      </w:pPr>
      <w:r>
        <w:rPr>
          <w:color w:val="000000"/>
        </w:rPr>
        <w:t>List any new apartment complexes, boarding houses, etc. where there is a very high likelihood of tenants staying.</w:t>
      </w:r>
    </w:p>
    <w:p w:rsidR="003F424D" w:rsidRDefault="003F424D" w:rsidP="003F424D">
      <w:pPr>
        <w:pStyle w:val="ListParagraph"/>
        <w:numPr>
          <w:ilvl w:val="0"/>
          <w:numId w:val="6"/>
        </w:numPr>
        <w:spacing w:after="0" w:line="240" w:lineRule="auto"/>
        <w:contextualSpacing w:val="0"/>
        <w:rPr>
          <w:color w:val="000000"/>
        </w:rPr>
      </w:pPr>
      <w:r>
        <w:rPr>
          <w:color w:val="000000"/>
        </w:rPr>
        <w:t xml:space="preserve">Clear all of the anticipated units in one programmatic review.  </w:t>
      </w:r>
    </w:p>
    <w:p w:rsidR="003F424D" w:rsidRDefault="003F424D" w:rsidP="003F424D">
      <w:pPr>
        <w:rPr>
          <w:color w:val="000000"/>
        </w:rPr>
      </w:pPr>
      <w:r>
        <w:rPr>
          <w:color w:val="000000"/>
        </w:rPr>
        <w:t>Once this programmatic review is completed CENST units that were not previously cleared can be reviewed as they are added.</w:t>
      </w:r>
    </w:p>
    <w:p w:rsidR="003F424D" w:rsidRPr="003F424D" w:rsidRDefault="003F424D" w:rsidP="003F424D">
      <w:pPr>
        <w:rPr>
          <w:b/>
          <w:bCs/>
          <w:sz w:val="24"/>
          <w:szCs w:val="24"/>
        </w:rPr>
      </w:pPr>
      <w:r w:rsidRPr="003F424D">
        <w:rPr>
          <w:b/>
          <w:bCs/>
          <w:sz w:val="24"/>
          <w:szCs w:val="24"/>
        </w:rPr>
        <w:t xml:space="preserve">Who is to complete the review for </w:t>
      </w:r>
      <w:r w:rsidRPr="003F424D">
        <w:rPr>
          <w:b/>
          <w:sz w:val="24"/>
          <w:szCs w:val="24"/>
        </w:rPr>
        <w:t>Exempt/CENST</w:t>
      </w:r>
      <w:r w:rsidR="004A76C0">
        <w:rPr>
          <w:b/>
          <w:sz w:val="24"/>
          <w:szCs w:val="24"/>
        </w:rPr>
        <w:t xml:space="preserve"> or </w:t>
      </w:r>
      <w:r w:rsidR="004A76C0" w:rsidRPr="004A76C0">
        <w:rPr>
          <w:b/>
          <w:sz w:val="24"/>
          <w:szCs w:val="24"/>
        </w:rPr>
        <w:t>CEST “Limited Scope”</w:t>
      </w:r>
      <w:r w:rsidRPr="004A76C0">
        <w:rPr>
          <w:b/>
          <w:bCs/>
          <w:sz w:val="24"/>
          <w:szCs w:val="24"/>
        </w:rPr>
        <w:t>:</w:t>
      </w:r>
      <w:bookmarkStart w:id="0" w:name="_GoBack"/>
      <w:bookmarkEnd w:id="0"/>
    </w:p>
    <w:p w:rsidR="003F424D" w:rsidRDefault="003F424D" w:rsidP="003F424D">
      <w:pPr>
        <w:rPr>
          <w:color w:val="000000"/>
        </w:rPr>
      </w:pPr>
      <w:r>
        <w:rPr>
          <w:color w:val="000000"/>
        </w:rPr>
        <w:t>If the grantee is completing projects throughout the county, they should contact the county and ask them to be the responsible entity.  However, if the grantee is only completing projects within the confines of a town or city, the grantee should contact the town or city with jurisdiction over the area being served and ask them to be the responsible entity before going to the county.</w:t>
      </w:r>
    </w:p>
    <w:p w:rsidR="003F424D" w:rsidRDefault="003F424D" w:rsidP="003F424D">
      <w:pPr>
        <w:rPr>
          <w:color w:val="000000"/>
        </w:rPr>
      </w:pPr>
      <w:r>
        <w:rPr>
          <w:color w:val="000000"/>
        </w:rPr>
        <w:t xml:space="preserve">If the local jurisdiction cannot or will not perform the environmental review, </w:t>
      </w:r>
      <w:r w:rsidR="00BC39F6">
        <w:rPr>
          <w:color w:val="000000"/>
        </w:rPr>
        <w:t xml:space="preserve">obtain a </w:t>
      </w:r>
      <w:r>
        <w:rPr>
          <w:color w:val="000000"/>
        </w:rPr>
        <w:t xml:space="preserve">written objection </w:t>
      </w:r>
      <w:r w:rsidR="00BC39F6">
        <w:rPr>
          <w:color w:val="000000"/>
        </w:rPr>
        <w:t xml:space="preserve">and notify your HUD CPD Representative.  HUD will work with the grantee to </w:t>
      </w:r>
      <w:r>
        <w:rPr>
          <w:color w:val="000000"/>
        </w:rPr>
        <w:t>perform the review if th</w:t>
      </w:r>
      <w:r w:rsidR="00BC39F6">
        <w:rPr>
          <w:color w:val="000000"/>
        </w:rPr>
        <w:t>e local jurisdiction cannot or will not</w:t>
      </w:r>
      <w:r>
        <w:rPr>
          <w:color w:val="000000"/>
        </w:rPr>
        <w:t>.</w:t>
      </w:r>
    </w:p>
    <w:p w:rsidR="003F424D" w:rsidRDefault="00937BCE" w:rsidP="00937BCE">
      <w:pPr>
        <w:rPr>
          <w:b/>
          <w:sz w:val="28"/>
          <w:szCs w:val="28"/>
          <w:u w:val="single"/>
        </w:rPr>
      </w:pPr>
      <w:r>
        <w:rPr>
          <w:b/>
          <w:sz w:val="28"/>
          <w:szCs w:val="28"/>
          <w:u w:val="single"/>
        </w:rPr>
        <w:t>Resources</w:t>
      </w:r>
    </w:p>
    <w:p w:rsidR="003F424D" w:rsidRDefault="003F424D" w:rsidP="00937BCE">
      <w:pPr>
        <w:rPr>
          <w:sz w:val="24"/>
          <w:szCs w:val="24"/>
        </w:rPr>
      </w:pPr>
      <w:r>
        <w:rPr>
          <w:b/>
          <w:sz w:val="24"/>
          <w:szCs w:val="24"/>
        </w:rPr>
        <w:t xml:space="preserve">HUD Exchange </w:t>
      </w:r>
      <w:proofErr w:type="spellStart"/>
      <w:r>
        <w:rPr>
          <w:b/>
          <w:sz w:val="24"/>
          <w:szCs w:val="24"/>
        </w:rPr>
        <w:t>CoC</w:t>
      </w:r>
      <w:proofErr w:type="spellEnd"/>
      <w:r>
        <w:rPr>
          <w:b/>
          <w:sz w:val="24"/>
          <w:szCs w:val="24"/>
        </w:rPr>
        <w:t xml:space="preserve"> Environmental Review FAQs: </w:t>
      </w:r>
      <w:hyperlink r:id="rId5" w:anchor="?topic=Environmental%20Review&amp;id=C1B13F5B-A5B7-AB0F-82B0C7F8BC53415F" w:history="1">
        <w:r w:rsidRPr="00604F18">
          <w:rPr>
            <w:rStyle w:val="Hyperlink"/>
            <w:sz w:val="24"/>
            <w:szCs w:val="24"/>
          </w:rPr>
          <w:t>https://www.hudexchange.info/faqs/programs/continuum-of-care-coc-program/#?topic=Environmental%20Review&amp;id=C1B13F5B-A5B7-AB0F-82B0C7F8BC53415F</w:t>
        </w:r>
      </w:hyperlink>
      <w:r>
        <w:rPr>
          <w:sz w:val="24"/>
          <w:szCs w:val="24"/>
        </w:rPr>
        <w:t xml:space="preserve"> </w:t>
      </w:r>
    </w:p>
    <w:p w:rsidR="00595555" w:rsidRPr="00937BCE" w:rsidRDefault="00595555" w:rsidP="00595555">
      <w:pPr>
        <w:pBdr>
          <w:bottom w:val="single" w:sz="12" w:space="4" w:color="F07F2D"/>
        </w:pBdr>
        <w:spacing w:before="150" w:after="150" w:line="240" w:lineRule="auto"/>
        <w:outlineLvl w:val="1"/>
        <w:rPr>
          <w:rFonts w:ascii="inherit" w:eastAsia="Times New Roman" w:hAnsi="inherit" w:cs="Arial"/>
          <w:b/>
          <w:sz w:val="24"/>
          <w:szCs w:val="24"/>
          <w:lang w:val="en"/>
        </w:rPr>
      </w:pPr>
      <w:proofErr w:type="spellStart"/>
      <w:r w:rsidRPr="00937BCE">
        <w:rPr>
          <w:rFonts w:ascii="inherit" w:eastAsia="Times New Roman" w:hAnsi="inherit" w:cs="Arial"/>
          <w:b/>
          <w:sz w:val="24"/>
          <w:szCs w:val="24"/>
          <w:lang w:val="en"/>
        </w:rPr>
        <w:t>CoC</w:t>
      </w:r>
      <w:proofErr w:type="spellEnd"/>
      <w:r w:rsidRPr="00937BCE">
        <w:rPr>
          <w:rFonts w:ascii="inherit" w:eastAsia="Times New Roman" w:hAnsi="inherit" w:cs="Arial"/>
          <w:b/>
          <w:sz w:val="24"/>
          <w:szCs w:val="24"/>
          <w:lang w:val="en"/>
        </w:rPr>
        <w:t xml:space="preserve"> Program Environmental Review Flow Chart</w:t>
      </w:r>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Date Published: February 2015</w:t>
      </w:r>
    </w:p>
    <w:p w:rsidR="00595555" w:rsidRPr="00937BCE" w:rsidRDefault="00595555" w:rsidP="00595555">
      <w:pPr>
        <w:spacing w:before="150" w:after="150" w:line="240" w:lineRule="auto"/>
        <w:outlineLvl w:val="2"/>
        <w:rPr>
          <w:rFonts w:ascii="inherit" w:eastAsia="Times New Roman" w:hAnsi="inherit" w:cs="Arial"/>
          <w:lang w:val="en"/>
        </w:rPr>
      </w:pPr>
      <w:r w:rsidRPr="00937BCE">
        <w:rPr>
          <w:rFonts w:ascii="inherit" w:eastAsia="Times New Roman" w:hAnsi="inherit" w:cs="Arial"/>
          <w:lang w:val="en"/>
        </w:rPr>
        <w:t>Description</w:t>
      </w:r>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 xml:space="preserve">This tool provides </w:t>
      </w:r>
      <w:proofErr w:type="spellStart"/>
      <w:r w:rsidRPr="00937BCE">
        <w:rPr>
          <w:rFonts w:ascii="Arial" w:eastAsia="Times New Roman" w:hAnsi="Arial" w:cs="Arial"/>
          <w:lang w:val="en"/>
        </w:rPr>
        <w:t>CoC</w:t>
      </w:r>
      <w:proofErr w:type="spellEnd"/>
      <w:r w:rsidRPr="00937BCE">
        <w:rPr>
          <w:rFonts w:ascii="Arial" w:eastAsia="Times New Roman" w:hAnsi="Arial" w:cs="Arial"/>
          <w:lang w:val="en"/>
        </w:rPr>
        <w:t xml:space="preserve"> Program recipients assistance in correctly identifying what level of environmental review is required for their </w:t>
      </w:r>
      <w:proofErr w:type="spellStart"/>
      <w:r w:rsidRPr="00937BCE">
        <w:rPr>
          <w:rFonts w:ascii="Arial" w:eastAsia="Times New Roman" w:hAnsi="Arial" w:cs="Arial"/>
          <w:lang w:val="en"/>
        </w:rPr>
        <w:t>CoC</w:t>
      </w:r>
      <w:proofErr w:type="spellEnd"/>
      <w:r w:rsidRPr="00937BCE">
        <w:rPr>
          <w:rFonts w:ascii="Arial" w:eastAsia="Times New Roman" w:hAnsi="Arial" w:cs="Arial"/>
          <w:lang w:val="en"/>
        </w:rPr>
        <w:t xml:space="preserve"> Program project(s). This tool provides links to the following forms: </w:t>
      </w:r>
      <w:proofErr w:type="spellStart"/>
      <w:r w:rsidRPr="00937BCE">
        <w:rPr>
          <w:rFonts w:ascii="Arial" w:eastAsia="Times New Roman" w:hAnsi="Arial" w:cs="Arial"/>
          <w:lang w:val="en"/>
        </w:rPr>
        <w:t>CoC</w:t>
      </w:r>
      <w:proofErr w:type="spellEnd"/>
      <w:r w:rsidRPr="00937BCE">
        <w:rPr>
          <w:rFonts w:ascii="Arial" w:eastAsia="Times New Roman" w:hAnsi="Arial" w:cs="Arial"/>
          <w:lang w:val="en"/>
        </w:rPr>
        <w:t xml:space="preserve"> Program 'CEST' Limited Scope Review, Exempt/CENST, EA, and CEST.</w:t>
      </w:r>
    </w:p>
    <w:p w:rsidR="00595555" w:rsidRPr="00937BCE" w:rsidRDefault="00595555" w:rsidP="00595555">
      <w:pPr>
        <w:spacing w:before="150" w:after="150" w:line="240" w:lineRule="auto"/>
        <w:outlineLvl w:val="2"/>
        <w:rPr>
          <w:rFonts w:ascii="inherit" w:eastAsia="Times New Roman" w:hAnsi="inherit" w:cs="Arial"/>
          <w:lang w:val="en"/>
        </w:rPr>
      </w:pPr>
      <w:r w:rsidRPr="00937BCE">
        <w:rPr>
          <w:rFonts w:ascii="inherit" w:eastAsia="Times New Roman" w:hAnsi="inherit" w:cs="Arial"/>
          <w:lang w:val="en"/>
        </w:rPr>
        <w:t>Resource Links</w:t>
      </w:r>
    </w:p>
    <w:p w:rsidR="00595555" w:rsidRPr="00595555" w:rsidRDefault="00C40F9B" w:rsidP="00595555">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6" w:tgtFrame="_blank" w:history="1">
        <w:proofErr w:type="spellStart"/>
        <w:r w:rsidR="00595555" w:rsidRPr="00595555">
          <w:rPr>
            <w:rFonts w:ascii="Arial" w:eastAsia="Times New Roman" w:hAnsi="Arial" w:cs="Arial"/>
            <w:color w:val="3299BB"/>
            <w:lang w:val="en"/>
          </w:rPr>
          <w:t>CoC</w:t>
        </w:r>
        <w:proofErr w:type="spellEnd"/>
        <w:r w:rsidR="00595555" w:rsidRPr="00595555">
          <w:rPr>
            <w:rFonts w:ascii="Arial" w:eastAsia="Times New Roman" w:hAnsi="Arial" w:cs="Arial"/>
            <w:color w:val="3299BB"/>
            <w:lang w:val="en"/>
          </w:rPr>
          <w:t xml:space="preserve"> Program Environmental Review Flow Chart (DOCX)</w:t>
        </w:r>
      </w:hyperlink>
      <w:r w:rsidR="00595555" w:rsidRPr="00595555">
        <w:rPr>
          <w:rFonts w:ascii="Arial" w:eastAsia="Times New Roman" w:hAnsi="Arial" w:cs="Arial"/>
          <w:color w:val="555555"/>
          <w:lang w:val="en"/>
        </w:rPr>
        <w:t xml:space="preserve"> (DOCX)</w:t>
      </w:r>
    </w:p>
    <w:p w:rsidR="00595555" w:rsidRDefault="00C40F9B" w:rsidP="00595555">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7" w:tgtFrame="_blank" w:history="1">
        <w:proofErr w:type="spellStart"/>
        <w:r w:rsidR="00595555" w:rsidRPr="00595555">
          <w:rPr>
            <w:rFonts w:ascii="Arial" w:eastAsia="Times New Roman" w:hAnsi="Arial" w:cs="Arial"/>
            <w:color w:val="3299BB"/>
            <w:lang w:val="en"/>
          </w:rPr>
          <w:t>CoC</w:t>
        </w:r>
        <w:proofErr w:type="spellEnd"/>
        <w:r w:rsidR="00595555" w:rsidRPr="00595555">
          <w:rPr>
            <w:rFonts w:ascii="Arial" w:eastAsia="Times New Roman" w:hAnsi="Arial" w:cs="Arial"/>
            <w:color w:val="3299BB"/>
            <w:lang w:val="en"/>
          </w:rPr>
          <w:t xml:space="preserve"> Program Environmental Review Flow Chart (PDF)</w:t>
        </w:r>
      </w:hyperlink>
      <w:r w:rsidR="00595555" w:rsidRPr="00595555">
        <w:rPr>
          <w:rFonts w:ascii="Arial" w:eastAsia="Times New Roman" w:hAnsi="Arial" w:cs="Arial"/>
          <w:color w:val="555555"/>
          <w:lang w:val="en"/>
        </w:rPr>
        <w:t xml:space="preserve"> (PDF)</w:t>
      </w:r>
    </w:p>
    <w:p w:rsidR="00BC39F6" w:rsidRPr="00BC39F6" w:rsidRDefault="00BC39F6" w:rsidP="00BC39F6">
      <w:pPr>
        <w:spacing w:before="150" w:after="150" w:line="240" w:lineRule="auto"/>
        <w:outlineLvl w:val="2"/>
        <w:rPr>
          <w:rFonts w:ascii="inherit" w:eastAsia="Times New Roman" w:hAnsi="inherit" w:cs="Arial"/>
          <w:lang w:val="en"/>
        </w:rPr>
      </w:pPr>
      <w:r>
        <w:rPr>
          <w:rFonts w:ascii="inherit" w:eastAsia="Times New Roman" w:hAnsi="inherit" w:cs="Arial"/>
          <w:lang w:val="en"/>
        </w:rPr>
        <w:lastRenderedPageBreak/>
        <w:t xml:space="preserve">Flow Chart </w:t>
      </w:r>
      <w:r w:rsidRPr="00BC39F6">
        <w:rPr>
          <w:rFonts w:ascii="inherit" w:eastAsia="Times New Roman" w:hAnsi="inherit" w:cs="Arial"/>
          <w:lang w:val="en"/>
        </w:rPr>
        <w:t>Resource Links</w:t>
      </w:r>
      <w:r>
        <w:rPr>
          <w:rFonts w:ascii="inherit" w:eastAsia="Times New Roman" w:hAnsi="inherit" w:cs="Arial"/>
          <w:lang w:val="en"/>
        </w:rPr>
        <w:t xml:space="preserve"> (continued)</w:t>
      </w:r>
    </w:p>
    <w:p w:rsidR="00595555" w:rsidRPr="00595555" w:rsidRDefault="00C40F9B" w:rsidP="00BC39F6">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8" w:tgtFrame="_blank" w:history="1">
        <w:proofErr w:type="spellStart"/>
        <w:r w:rsidR="00595555" w:rsidRPr="00595555">
          <w:rPr>
            <w:rFonts w:ascii="Arial" w:eastAsia="Times New Roman" w:hAnsi="Arial" w:cs="Arial"/>
            <w:color w:val="3299BB"/>
            <w:lang w:val="en"/>
          </w:rPr>
          <w:t>CoC</w:t>
        </w:r>
        <w:proofErr w:type="spellEnd"/>
        <w:r w:rsidR="00595555" w:rsidRPr="00595555">
          <w:rPr>
            <w:rFonts w:ascii="Arial" w:eastAsia="Times New Roman" w:hAnsi="Arial" w:cs="Arial"/>
            <w:color w:val="3299BB"/>
            <w:lang w:val="en"/>
          </w:rPr>
          <w:t xml:space="preserve"> Program Environmental Review Flow Chart (508 Compliant Version)</w:t>
        </w:r>
      </w:hyperlink>
      <w:r w:rsidR="00595555" w:rsidRPr="00595555">
        <w:rPr>
          <w:rFonts w:ascii="Arial" w:eastAsia="Times New Roman" w:hAnsi="Arial" w:cs="Arial"/>
          <w:color w:val="555555"/>
          <w:lang w:val="en"/>
        </w:rPr>
        <w:t xml:space="preserve"> (PDF)</w:t>
      </w:r>
    </w:p>
    <w:p w:rsidR="00595555" w:rsidRPr="00595555" w:rsidRDefault="00C40F9B" w:rsidP="00595555">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9" w:tgtFrame="_self" w:history="1">
        <w:r w:rsidR="00595555" w:rsidRPr="00595555">
          <w:rPr>
            <w:rFonts w:ascii="Arial" w:eastAsia="Times New Roman" w:hAnsi="Arial" w:cs="Arial"/>
            <w:color w:val="3299BB"/>
            <w:lang w:val="en"/>
          </w:rPr>
          <w:t>Exempt/CENST Form</w:t>
        </w:r>
      </w:hyperlink>
      <w:r w:rsidR="00595555" w:rsidRPr="00595555">
        <w:rPr>
          <w:rFonts w:ascii="Arial" w:eastAsia="Times New Roman" w:hAnsi="Arial" w:cs="Arial"/>
          <w:color w:val="555555"/>
          <w:lang w:val="en"/>
        </w:rPr>
        <w:t xml:space="preserve"> (HTML)</w:t>
      </w:r>
    </w:p>
    <w:p w:rsidR="00595555" w:rsidRPr="00595555" w:rsidRDefault="00C40F9B" w:rsidP="00595555">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10" w:tgtFrame="_self" w:history="1">
        <w:proofErr w:type="spellStart"/>
        <w:r w:rsidR="00595555" w:rsidRPr="00595555">
          <w:rPr>
            <w:rFonts w:ascii="Arial" w:eastAsia="Times New Roman" w:hAnsi="Arial" w:cs="Arial"/>
            <w:color w:val="3299BB"/>
            <w:lang w:val="en"/>
          </w:rPr>
          <w:t>CoC</w:t>
        </w:r>
        <w:proofErr w:type="spellEnd"/>
        <w:r w:rsidR="00595555" w:rsidRPr="00595555">
          <w:rPr>
            <w:rFonts w:ascii="Arial" w:eastAsia="Times New Roman" w:hAnsi="Arial" w:cs="Arial"/>
            <w:color w:val="3299BB"/>
            <w:lang w:val="en"/>
          </w:rPr>
          <w:t xml:space="preserve"> Program 'CEST' Limited Scope Review </w:t>
        </w:r>
      </w:hyperlink>
      <w:r w:rsidR="00595555" w:rsidRPr="00595555">
        <w:rPr>
          <w:rFonts w:ascii="Arial" w:eastAsia="Times New Roman" w:hAnsi="Arial" w:cs="Arial"/>
          <w:color w:val="555555"/>
          <w:lang w:val="en"/>
        </w:rPr>
        <w:t>(HTML)</w:t>
      </w:r>
    </w:p>
    <w:p w:rsidR="00595555" w:rsidRPr="00595555" w:rsidRDefault="00C40F9B" w:rsidP="00595555">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11" w:tgtFrame="_self" w:history="1">
        <w:r w:rsidR="00595555" w:rsidRPr="00595555">
          <w:rPr>
            <w:rFonts w:ascii="Arial" w:eastAsia="Times New Roman" w:hAnsi="Arial" w:cs="Arial"/>
            <w:color w:val="3299BB"/>
            <w:lang w:val="en"/>
          </w:rPr>
          <w:t>Environmental Assessment (EA) Form</w:t>
        </w:r>
      </w:hyperlink>
      <w:r w:rsidR="00595555" w:rsidRPr="00595555">
        <w:rPr>
          <w:rFonts w:ascii="Arial" w:eastAsia="Times New Roman" w:hAnsi="Arial" w:cs="Arial"/>
          <w:color w:val="555555"/>
          <w:lang w:val="en"/>
        </w:rPr>
        <w:t xml:space="preserve"> (HTML)</w:t>
      </w:r>
    </w:p>
    <w:p w:rsidR="00595555" w:rsidRPr="00595555" w:rsidRDefault="00C40F9B" w:rsidP="00595555">
      <w:pPr>
        <w:numPr>
          <w:ilvl w:val="0"/>
          <w:numId w:val="2"/>
        </w:numPr>
        <w:spacing w:before="100" w:beforeAutospacing="1" w:after="100" w:afterAutospacing="1" w:line="240" w:lineRule="auto"/>
        <w:ind w:left="495"/>
        <w:rPr>
          <w:rFonts w:ascii="Arial" w:eastAsia="Times New Roman" w:hAnsi="Arial" w:cs="Arial"/>
          <w:color w:val="555555"/>
          <w:lang w:val="en"/>
        </w:rPr>
      </w:pPr>
      <w:hyperlink r:id="rId12" w:tgtFrame="_self" w:history="1">
        <w:r w:rsidR="00595555" w:rsidRPr="00595555">
          <w:rPr>
            <w:rFonts w:ascii="Arial" w:eastAsia="Times New Roman" w:hAnsi="Arial" w:cs="Arial"/>
            <w:color w:val="3299BB"/>
            <w:lang w:val="en"/>
          </w:rPr>
          <w:t>CEST Form</w:t>
        </w:r>
      </w:hyperlink>
      <w:r w:rsidR="00595555" w:rsidRPr="00595555">
        <w:rPr>
          <w:rFonts w:ascii="Arial" w:eastAsia="Times New Roman" w:hAnsi="Arial" w:cs="Arial"/>
          <w:color w:val="555555"/>
          <w:lang w:val="en"/>
        </w:rPr>
        <w:t xml:space="preserve"> (HTML)</w:t>
      </w:r>
    </w:p>
    <w:p w:rsidR="00595555" w:rsidRDefault="00595555" w:rsidP="00595555">
      <w:r w:rsidRPr="00595555">
        <w:t xml:space="preserve">(source: </w:t>
      </w:r>
      <w:hyperlink r:id="rId13" w:history="1">
        <w:r w:rsidRPr="00C71BB0">
          <w:rPr>
            <w:rStyle w:val="Hyperlink"/>
          </w:rPr>
          <w:t>https://www.hudexchange.info/resource/4045/coc-program-environmental-review-flow-chart/</w:t>
        </w:r>
      </w:hyperlink>
      <w:r>
        <w:t xml:space="preserve">) </w:t>
      </w:r>
    </w:p>
    <w:p w:rsidR="00BC39F6" w:rsidRPr="00595555" w:rsidRDefault="00BC39F6" w:rsidP="00595555"/>
    <w:p w:rsidR="00595555" w:rsidRPr="00937BCE" w:rsidRDefault="00595555" w:rsidP="00595555">
      <w:pPr>
        <w:pBdr>
          <w:bottom w:val="single" w:sz="12" w:space="4" w:color="F07F2D"/>
        </w:pBdr>
        <w:spacing w:before="150" w:after="150" w:line="240" w:lineRule="auto"/>
        <w:outlineLvl w:val="1"/>
        <w:rPr>
          <w:rFonts w:ascii="inherit" w:eastAsia="Times New Roman" w:hAnsi="inherit" w:cs="Arial"/>
          <w:b/>
          <w:sz w:val="24"/>
          <w:szCs w:val="24"/>
          <w:lang w:val="en"/>
        </w:rPr>
      </w:pPr>
      <w:r w:rsidRPr="00937BCE">
        <w:rPr>
          <w:rFonts w:ascii="inherit" w:eastAsia="Times New Roman" w:hAnsi="inherit" w:cs="Arial"/>
          <w:b/>
          <w:sz w:val="24"/>
          <w:szCs w:val="24"/>
          <w:lang w:val="en"/>
        </w:rPr>
        <w:t>Part 58 Environmental Review - Format for Activities Categorically Excluded under 58.35(a) (CEST)</w:t>
      </w:r>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Date Published: June 2016</w:t>
      </w:r>
    </w:p>
    <w:p w:rsidR="00595555" w:rsidRPr="00937BCE" w:rsidRDefault="00595555" w:rsidP="00595555">
      <w:pPr>
        <w:spacing w:before="150" w:after="150" w:line="240" w:lineRule="auto"/>
        <w:outlineLvl w:val="2"/>
        <w:rPr>
          <w:rFonts w:ascii="inherit" w:eastAsia="Times New Roman" w:hAnsi="inherit" w:cs="Arial"/>
          <w:lang w:val="en"/>
        </w:rPr>
      </w:pPr>
      <w:r w:rsidRPr="00937BCE">
        <w:rPr>
          <w:rFonts w:ascii="inherit" w:eastAsia="Times New Roman" w:hAnsi="inherit" w:cs="Arial"/>
          <w:lang w:val="en"/>
        </w:rPr>
        <w:t>Description</w:t>
      </w:r>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This form is a suggested environmental review format for a Part 58 CEST project (categorically excluded, subject to the Federal laws and authorities referenced at 24 CFR 58.5).</w:t>
      </w:r>
    </w:p>
    <w:p w:rsidR="00595555" w:rsidRPr="00937BCE" w:rsidRDefault="00595555" w:rsidP="00595555">
      <w:pPr>
        <w:spacing w:before="150" w:after="150" w:line="240" w:lineRule="auto"/>
        <w:outlineLvl w:val="2"/>
        <w:rPr>
          <w:rFonts w:ascii="inherit" w:eastAsia="Times New Roman" w:hAnsi="inherit" w:cs="Arial"/>
          <w:lang w:val="en"/>
        </w:rPr>
      </w:pPr>
      <w:r w:rsidRPr="00937BCE">
        <w:rPr>
          <w:rFonts w:ascii="inherit" w:eastAsia="Times New Roman" w:hAnsi="inherit" w:cs="Arial"/>
          <w:lang w:val="en"/>
        </w:rPr>
        <w:t>Resource Links</w:t>
      </w:r>
    </w:p>
    <w:p w:rsidR="00595555" w:rsidRPr="00595555" w:rsidRDefault="00C40F9B" w:rsidP="00595555">
      <w:pPr>
        <w:numPr>
          <w:ilvl w:val="0"/>
          <w:numId w:val="1"/>
        </w:numPr>
        <w:spacing w:before="100" w:beforeAutospacing="1" w:after="100" w:afterAutospacing="1" w:line="240" w:lineRule="auto"/>
        <w:ind w:left="495"/>
        <w:rPr>
          <w:rFonts w:ascii="Arial" w:eastAsia="Times New Roman" w:hAnsi="Arial" w:cs="Arial"/>
          <w:color w:val="555555"/>
          <w:lang w:val="en"/>
        </w:rPr>
      </w:pPr>
      <w:hyperlink r:id="rId14" w:tgtFrame="_blank" w:history="1">
        <w:r w:rsidR="00595555" w:rsidRPr="00595555">
          <w:rPr>
            <w:rFonts w:ascii="Arial" w:eastAsia="Times New Roman" w:hAnsi="Arial" w:cs="Arial"/>
            <w:color w:val="3299BB"/>
            <w:lang w:val="en"/>
          </w:rPr>
          <w:t>Part 58 Environmental Review - Format for Activities Categorically Excluded under 58.35(a) (CEST)</w:t>
        </w:r>
      </w:hyperlink>
      <w:r w:rsidR="00595555" w:rsidRPr="00595555">
        <w:rPr>
          <w:rFonts w:ascii="Arial" w:eastAsia="Times New Roman" w:hAnsi="Arial" w:cs="Arial"/>
          <w:color w:val="555555"/>
          <w:lang w:val="en"/>
        </w:rPr>
        <w:t xml:space="preserve"> (DOCX)</w:t>
      </w:r>
    </w:p>
    <w:p w:rsidR="00595555" w:rsidRDefault="00595555" w:rsidP="00595555">
      <w:r>
        <w:t xml:space="preserve">(source: </w:t>
      </w:r>
      <w:hyperlink r:id="rId15" w:history="1">
        <w:r w:rsidRPr="00C71BB0">
          <w:rPr>
            <w:rStyle w:val="Hyperlink"/>
          </w:rPr>
          <w:t>https://www.hudexchange.info/resource/3139/part-58-environmental-review-cest-format/</w:t>
        </w:r>
      </w:hyperlink>
      <w:r>
        <w:t>)</w:t>
      </w:r>
    </w:p>
    <w:p w:rsidR="00595555" w:rsidRDefault="00595555" w:rsidP="00595555"/>
    <w:p w:rsidR="00595555" w:rsidRPr="00937BCE" w:rsidRDefault="00595555" w:rsidP="00595555">
      <w:pPr>
        <w:pBdr>
          <w:bottom w:val="single" w:sz="12" w:space="4" w:color="F07F2D"/>
        </w:pBdr>
        <w:spacing w:before="150" w:after="150" w:line="240" w:lineRule="auto"/>
        <w:outlineLvl w:val="1"/>
        <w:rPr>
          <w:rFonts w:ascii="inherit" w:eastAsia="Times New Roman" w:hAnsi="inherit" w:cs="Arial"/>
          <w:b/>
          <w:sz w:val="24"/>
          <w:szCs w:val="24"/>
          <w:lang w:val="en"/>
        </w:rPr>
      </w:pPr>
      <w:r w:rsidRPr="00937BCE">
        <w:rPr>
          <w:rFonts w:ascii="inherit" w:eastAsia="Times New Roman" w:hAnsi="inherit" w:cs="Arial"/>
          <w:b/>
          <w:sz w:val="24"/>
          <w:szCs w:val="24"/>
          <w:lang w:val="en"/>
        </w:rPr>
        <w:t xml:space="preserve">Limited Scope Environmental Review </w:t>
      </w:r>
      <w:proofErr w:type="spellStart"/>
      <w:r w:rsidRPr="00937BCE">
        <w:rPr>
          <w:rFonts w:ascii="inherit" w:eastAsia="Times New Roman" w:hAnsi="inherit" w:cs="Arial"/>
          <w:b/>
          <w:sz w:val="24"/>
          <w:szCs w:val="24"/>
          <w:lang w:val="en"/>
        </w:rPr>
        <w:t>CoC</w:t>
      </w:r>
      <w:proofErr w:type="spellEnd"/>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Date Published: April 2016</w:t>
      </w:r>
    </w:p>
    <w:p w:rsidR="00595555" w:rsidRPr="00937BCE" w:rsidRDefault="00595555" w:rsidP="00595555">
      <w:pPr>
        <w:spacing w:before="150" w:after="150" w:line="240" w:lineRule="auto"/>
        <w:outlineLvl w:val="2"/>
        <w:rPr>
          <w:rFonts w:ascii="inherit" w:eastAsia="Times New Roman" w:hAnsi="inherit" w:cs="Arial"/>
          <w:lang w:val="en"/>
        </w:rPr>
      </w:pPr>
      <w:r w:rsidRPr="00937BCE">
        <w:rPr>
          <w:rFonts w:ascii="inherit" w:eastAsia="Times New Roman" w:hAnsi="inherit" w:cs="Arial"/>
          <w:lang w:val="en"/>
        </w:rPr>
        <w:t>Description</w:t>
      </w:r>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The Limited Scope Environmental Review Instructions provides guidance on how to complete a limited scope review, and the Limited Scope Environmental Review Format is the recommended format for completing limited scope environmental reviews when used in tandem with the Instructions. These documents were designed specifically for projects funded by the Continuum of Care (</w:t>
      </w:r>
      <w:proofErr w:type="spellStart"/>
      <w:r w:rsidRPr="00937BCE">
        <w:rPr>
          <w:rFonts w:ascii="Arial" w:eastAsia="Times New Roman" w:hAnsi="Arial" w:cs="Arial"/>
          <w:lang w:val="en"/>
        </w:rPr>
        <w:t>CoC</w:t>
      </w:r>
      <w:proofErr w:type="spellEnd"/>
      <w:r w:rsidRPr="00937BCE">
        <w:rPr>
          <w:rFonts w:ascii="Arial" w:eastAsia="Times New Roman" w:hAnsi="Arial" w:cs="Arial"/>
          <w:lang w:val="en"/>
        </w:rPr>
        <w:t>) program.</w:t>
      </w:r>
    </w:p>
    <w:p w:rsidR="00595555" w:rsidRPr="00937BCE" w:rsidRDefault="00595555" w:rsidP="00595555">
      <w:pPr>
        <w:spacing w:after="150" w:line="240" w:lineRule="auto"/>
        <w:rPr>
          <w:rFonts w:ascii="Arial" w:eastAsia="Times New Roman" w:hAnsi="Arial" w:cs="Arial"/>
          <w:lang w:val="en"/>
        </w:rPr>
      </w:pPr>
      <w:r w:rsidRPr="00937BCE">
        <w:rPr>
          <w:rFonts w:ascii="Arial" w:eastAsia="Times New Roman" w:hAnsi="Arial" w:cs="Arial"/>
          <w:lang w:val="en"/>
        </w:rPr>
        <w:t>Projects that consist only of leasing or rental assistance activities require only a “limited scope” environmental review. Responsible Entities conducting a limited scope review need only analyze certain environmental laws and authorities and may document that the project is in compliance with others without analysis. A limited scope review is appropriate only if the project consists entirely of leasing or rental assistance activities in existing residential buildings without any associated physical impacts, including repairs, rehabilitation, or new construction. </w:t>
      </w:r>
    </w:p>
    <w:p w:rsidR="00595555" w:rsidRPr="00937BCE" w:rsidRDefault="00595555" w:rsidP="00595555">
      <w:pPr>
        <w:spacing w:before="150" w:after="150" w:line="240" w:lineRule="auto"/>
        <w:outlineLvl w:val="2"/>
        <w:rPr>
          <w:rFonts w:ascii="inherit" w:eastAsia="Times New Roman" w:hAnsi="inherit" w:cs="Arial"/>
          <w:lang w:val="en"/>
        </w:rPr>
      </w:pPr>
      <w:r w:rsidRPr="00937BCE">
        <w:rPr>
          <w:rFonts w:ascii="inherit" w:eastAsia="Times New Roman" w:hAnsi="inherit" w:cs="Arial"/>
          <w:lang w:val="en"/>
        </w:rPr>
        <w:t>Resource Links</w:t>
      </w:r>
    </w:p>
    <w:p w:rsidR="00595555" w:rsidRPr="00595555" w:rsidRDefault="00C40F9B" w:rsidP="00595555">
      <w:pPr>
        <w:numPr>
          <w:ilvl w:val="0"/>
          <w:numId w:val="3"/>
        </w:numPr>
        <w:spacing w:before="100" w:beforeAutospacing="1" w:after="100" w:afterAutospacing="1" w:line="240" w:lineRule="auto"/>
        <w:ind w:left="495"/>
        <w:rPr>
          <w:rFonts w:ascii="Arial" w:eastAsia="Times New Roman" w:hAnsi="Arial" w:cs="Arial"/>
          <w:color w:val="555555"/>
          <w:lang w:val="en"/>
        </w:rPr>
      </w:pPr>
      <w:hyperlink r:id="rId16" w:tgtFrame="_blank" w:history="1">
        <w:r w:rsidR="00595555" w:rsidRPr="00595555">
          <w:rPr>
            <w:rFonts w:ascii="Arial" w:eastAsia="Times New Roman" w:hAnsi="Arial" w:cs="Arial"/>
            <w:color w:val="3299BB"/>
            <w:lang w:val="en"/>
          </w:rPr>
          <w:t>Limited Scope Environmental Review Instructions - Continuum of Care (</w:t>
        </w:r>
        <w:proofErr w:type="spellStart"/>
        <w:r w:rsidR="00595555" w:rsidRPr="00595555">
          <w:rPr>
            <w:rFonts w:ascii="Arial" w:eastAsia="Times New Roman" w:hAnsi="Arial" w:cs="Arial"/>
            <w:color w:val="3299BB"/>
            <w:lang w:val="en"/>
          </w:rPr>
          <w:t>CoC</w:t>
        </w:r>
        <w:proofErr w:type="spellEnd"/>
        <w:r w:rsidR="00595555" w:rsidRPr="00595555">
          <w:rPr>
            <w:rFonts w:ascii="Arial" w:eastAsia="Times New Roman" w:hAnsi="Arial" w:cs="Arial"/>
            <w:color w:val="3299BB"/>
            <w:lang w:val="en"/>
          </w:rPr>
          <w:t>)</w:t>
        </w:r>
      </w:hyperlink>
      <w:r w:rsidR="00595555" w:rsidRPr="00595555">
        <w:rPr>
          <w:rFonts w:ascii="Arial" w:eastAsia="Times New Roman" w:hAnsi="Arial" w:cs="Arial"/>
          <w:color w:val="555555"/>
          <w:lang w:val="en"/>
        </w:rPr>
        <w:t xml:space="preserve"> (PDF)</w:t>
      </w:r>
    </w:p>
    <w:p w:rsidR="00595555" w:rsidRPr="00595555" w:rsidRDefault="00C40F9B" w:rsidP="00595555">
      <w:pPr>
        <w:numPr>
          <w:ilvl w:val="0"/>
          <w:numId w:val="3"/>
        </w:numPr>
        <w:spacing w:before="100" w:beforeAutospacing="1" w:after="100" w:afterAutospacing="1" w:line="240" w:lineRule="auto"/>
        <w:ind w:left="495"/>
        <w:rPr>
          <w:rFonts w:ascii="Arial" w:eastAsia="Times New Roman" w:hAnsi="Arial" w:cs="Arial"/>
          <w:color w:val="555555"/>
          <w:lang w:val="en"/>
        </w:rPr>
      </w:pPr>
      <w:hyperlink r:id="rId17" w:tgtFrame="_blank" w:history="1">
        <w:r w:rsidR="00595555" w:rsidRPr="00595555">
          <w:rPr>
            <w:rFonts w:ascii="Arial" w:eastAsia="Times New Roman" w:hAnsi="Arial" w:cs="Arial"/>
            <w:color w:val="3299BB"/>
            <w:lang w:val="en"/>
          </w:rPr>
          <w:t>Limited Scope Environmental Review Format -- Continuum of Care (</w:t>
        </w:r>
        <w:proofErr w:type="spellStart"/>
        <w:r w:rsidR="00595555" w:rsidRPr="00595555">
          <w:rPr>
            <w:rFonts w:ascii="Arial" w:eastAsia="Times New Roman" w:hAnsi="Arial" w:cs="Arial"/>
            <w:color w:val="3299BB"/>
            <w:lang w:val="en"/>
          </w:rPr>
          <w:t>CoC</w:t>
        </w:r>
        <w:proofErr w:type="spellEnd"/>
        <w:r w:rsidR="00595555" w:rsidRPr="00595555">
          <w:rPr>
            <w:rFonts w:ascii="Arial" w:eastAsia="Times New Roman" w:hAnsi="Arial" w:cs="Arial"/>
            <w:color w:val="3299BB"/>
            <w:lang w:val="en"/>
          </w:rPr>
          <w:t>)</w:t>
        </w:r>
      </w:hyperlink>
      <w:r w:rsidR="00595555" w:rsidRPr="00595555">
        <w:rPr>
          <w:rFonts w:ascii="Arial" w:eastAsia="Times New Roman" w:hAnsi="Arial" w:cs="Arial"/>
          <w:color w:val="555555"/>
          <w:lang w:val="en"/>
        </w:rPr>
        <w:t xml:space="preserve"> (DOCX)</w:t>
      </w:r>
    </w:p>
    <w:p w:rsidR="00595555" w:rsidRDefault="00595555" w:rsidP="00595555">
      <w:r>
        <w:t xml:space="preserve">(source: </w:t>
      </w:r>
      <w:hyperlink r:id="rId18" w:history="1">
        <w:r w:rsidRPr="00C71BB0">
          <w:rPr>
            <w:rStyle w:val="Hyperlink"/>
          </w:rPr>
          <w:t>https://www.hudexchange.info/resource/3800/limited-scope-environmental-review-coc/</w:t>
        </w:r>
      </w:hyperlink>
      <w:r>
        <w:t xml:space="preserve">) </w:t>
      </w:r>
    </w:p>
    <w:p w:rsidR="00595555" w:rsidRPr="00595555" w:rsidRDefault="00595555" w:rsidP="00595555"/>
    <w:sectPr w:rsidR="00595555" w:rsidRPr="00595555" w:rsidSect="00BC39F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BC25022"/>
    <w:multiLevelType w:val="multilevel"/>
    <w:tmpl w:val="CFD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B5532"/>
    <w:multiLevelType w:val="multilevel"/>
    <w:tmpl w:val="5A6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D078D"/>
    <w:multiLevelType w:val="hybridMultilevel"/>
    <w:tmpl w:val="C3F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305D2"/>
    <w:multiLevelType w:val="multilevel"/>
    <w:tmpl w:val="13F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177BA"/>
    <w:multiLevelType w:val="hybridMultilevel"/>
    <w:tmpl w:val="BA1C7B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755C2228"/>
    <w:multiLevelType w:val="hybridMultilevel"/>
    <w:tmpl w:val="1134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55"/>
    <w:rsid w:val="003F424D"/>
    <w:rsid w:val="004A76C0"/>
    <w:rsid w:val="00595555"/>
    <w:rsid w:val="00647F8A"/>
    <w:rsid w:val="00937BCE"/>
    <w:rsid w:val="00BC39F6"/>
    <w:rsid w:val="00C4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5F56"/>
  <w15:chartTrackingRefBased/>
  <w15:docId w15:val="{2DD06039-C79F-4A0F-8C4B-E5ECFB95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595555"/>
    <w:pPr>
      <w:pBdr>
        <w:bottom w:val="single" w:sz="12" w:space="4" w:color="F07F2D"/>
      </w:pBdr>
      <w:spacing w:before="150" w:after="150" w:line="240" w:lineRule="auto"/>
      <w:outlineLvl w:val="1"/>
    </w:pPr>
    <w:rPr>
      <w:rFonts w:ascii="inherit" w:eastAsia="Times New Roman" w:hAnsi="inherit" w:cs="Times New Roman"/>
      <w:sz w:val="36"/>
      <w:szCs w:val="36"/>
    </w:rPr>
  </w:style>
  <w:style w:type="paragraph" w:styleId="Heading3">
    <w:name w:val="heading 3"/>
    <w:basedOn w:val="Normal"/>
    <w:link w:val="Heading3Char"/>
    <w:uiPriority w:val="9"/>
    <w:qFormat/>
    <w:rsid w:val="00595555"/>
    <w:pPr>
      <w:spacing w:before="150" w:after="150" w:line="240" w:lineRule="auto"/>
      <w:outlineLvl w:val="2"/>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555"/>
    <w:rPr>
      <w:rFonts w:ascii="inherit" w:eastAsia="Times New Roman" w:hAnsi="inherit" w:cs="Times New Roman"/>
      <w:sz w:val="36"/>
      <w:szCs w:val="36"/>
    </w:rPr>
  </w:style>
  <w:style w:type="character" w:customStyle="1" w:styleId="Heading3Char">
    <w:name w:val="Heading 3 Char"/>
    <w:basedOn w:val="DefaultParagraphFont"/>
    <w:link w:val="Heading3"/>
    <w:uiPriority w:val="9"/>
    <w:rsid w:val="00595555"/>
    <w:rPr>
      <w:rFonts w:ascii="inherit" w:eastAsia="Times New Roman" w:hAnsi="inherit" w:cs="Times New Roman"/>
      <w:sz w:val="36"/>
      <w:szCs w:val="36"/>
    </w:rPr>
  </w:style>
  <w:style w:type="character" w:styleId="Hyperlink">
    <w:name w:val="Hyperlink"/>
    <w:basedOn w:val="DefaultParagraphFont"/>
    <w:uiPriority w:val="99"/>
    <w:unhideWhenUsed/>
    <w:rsid w:val="00595555"/>
    <w:rPr>
      <w:strike w:val="0"/>
      <w:dstrike w:val="0"/>
      <w:color w:val="3299BB"/>
      <w:u w:val="none"/>
      <w:effect w:val="none"/>
    </w:rPr>
  </w:style>
  <w:style w:type="paragraph" w:styleId="NormalWeb">
    <w:name w:val="Normal (Web)"/>
    <w:basedOn w:val="Normal"/>
    <w:uiPriority w:val="99"/>
    <w:semiHidden/>
    <w:unhideWhenUsed/>
    <w:rsid w:val="00595555"/>
    <w:pPr>
      <w:spacing w:after="150" w:line="240" w:lineRule="auto"/>
    </w:pPr>
    <w:rPr>
      <w:rFonts w:ascii="Times New Roman" w:eastAsia="Times New Roman" w:hAnsi="Times New Roman" w:cs="Times New Roman"/>
      <w:sz w:val="24"/>
      <w:szCs w:val="24"/>
    </w:rPr>
  </w:style>
  <w:style w:type="paragraph" w:customStyle="1" w:styleId="Date1">
    <w:name w:val="Date1"/>
    <w:basedOn w:val="Normal"/>
    <w:rsid w:val="00595555"/>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7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22613">
      <w:bodyDiv w:val="1"/>
      <w:marLeft w:val="0"/>
      <w:marRight w:val="0"/>
      <w:marTop w:val="0"/>
      <w:marBottom w:val="0"/>
      <w:divBdr>
        <w:top w:val="none" w:sz="0" w:space="0" w:color="auto"/>
        <w:left w:val="none" w:sz="0" w:space="0" w:color="auto"/>
        <w:bottom w:val="none" w:sz="0" w:space="0" w:color="auto"/>
        <w:right w:val="none" w:sz="0" w:space="0" w:color="auto"/>
      </w:divBdr>
      <w:divsChild>
        <w:div w:id="987443958">
          <w:marLeft w:val="0"/>
          <w:marRight w:val="0"/>
          <w:marTop w:val="0"/>
          <w:marBottom w:val="0"/>
          <w:divBdr>
            <w:top w:val="none" w:sz="0" w:space="0" w:color="auto"/>
            <w:left w:val="none" w:sz="0" w:space="0" w:color="auto"/>
            <w:bottom w:val="none" w:sz="0" w:space="0" w:color="auto"/>
            <w:right w:val="none" w:sz="0" w:space="0" w:color="auto"/>
          </w:divBdr>
          <w:divsChild>
            <w:div w:id="2127190037">
              <w:marLeft w:val="-225"/>
              <w:marRight w:val="-225"/>
              <w:marTop w:val="0"/>
              <w:marBottom w:val="0"/>
              <w:divBdr>
                <w:top w:val="none" w:sz="0" w:space="0" w:color="auto"/>
                <w:left w:val="none" w:sz="0" w:space="0" w:color="auto"/>
                <w:bottom w:val="none" w:sz="0" w:space="0" w:color="auto"/>
                <w:right w:val="none" w:sz="0" w:space="0" w:color="auto"/>
              </w:divBdr>
              <w:divsChild>
                <w:div w:id="7000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6836">
      <w:bodyDiv w:val="1"/>
      <w:marLeft w:val="0"/>
      <w:marRight w:val="0"/>
      <w:marTop w:val="0"/>
      <w:marBottom w:val="0"/>
      <w:divBdr>
        <w:top w:val="none" w:sz="0" w:space="0" w:color="auto"/>
        <w:left w:val="none" w:sz="0" w:space="0" w:color="auto"/>
        <w:bottom w:val="none" w:sz="0" w:space="0" w:color="auto"/>
        <w:right w:val="none" w:sz="0" w:space="0" w:color="auto"/>
      </w:divBdr>
      <w:divsChild>
        <w:div w:id="1828667351">
          <w:marLeft w:val="0"/>
          <w:marRight w:val="0"/>
          <w:marTop w:val="0"/>
          <w:marBottom w:val="0"/>
          <w:divBdr>
            <w:top w:val="none" w:sz="0" w:space="0" w:color="auto"/>
            <w:left w:val="none" w:sz="0" w:space="0" w:color="auto"/>
            <w:bottom w:val="none" w:sz="0" w:space="0" w:color="auto"/>
            <w:right w:val="none" w:sz="0" w:space="0" w:color="auto"/>
          </w:divBdr>
          <w:divsChild>
            <w:div w:id="921833593">
              <w:marLeft w:val="-225"/>
              <w:marRight w:val="-225"/>
              <w:marTop w:val="0"/>
              <w:marBottom w:val="0"/>
              <w:divBdr>
                <w:top w:val="none" w:sz="0" w:space="0" w:color="auto"/>
                <w:left w:val="none" w:sz="0" w:space="0" w:color="auto"/>
                <w:bottom w:val="none" w:sz="0" w:space="0" w:color="auto"/>
                <w:right w:val="none" w:sz="0" w:space="0" w:color="auto"/>
              </w:divBdr>
              <w:divsChild>
                <w:div w:id="1068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102">
      <w:bodyDiv w:val="1"/>
      <w:marLeft w:val="0"/>
      <w:marRight w:val="0"/>
      <w:marTop w:val="0"/>
      <w:marBottom w:val="0"/>
      <w:divBdr>
        <w:top w:val="none" w:sz="0" w:space="0" w:color="auto"/>
        <w:left w:val="none" w:sz="0" w:space="0" w:color="auto"/>
        <w:bottom w:val="none" w:sz="0" w:space="0" w:color="auto"/>
        <w:right w:val="none" w:sz="0" w:space="0" w:color="auto"/>
      </w:divBdr>
      <w:divsChild>
        <w:div w:id="1783765552">
          <w:marLeft w:val="0"/>
          <w:marRight w:val="0"/>
          <w:marTop w:val="0"/>
          <w:marBottom w:val="0"/>
          <w:divBdr>
            <w:top w:val="none" w:sz="0" w:space="0" w:color="auto"/>
            <w:left w:val="none" w:sz="0" w:space="0" w:color="auto"/>
            <w:bottom w:val="none" w:sz="0" w:space="0" w:color="auto"/>
            <w:right w:val="none" w:sz="0" w:space="0" w:color="auto"/>
          </w:divBdr>
          <w:divsChild>
            <w:div w:id="1381051234">
              <w:marLeft w:val="-225"/>
              <w:marRight w:val="-225"/>
              <w:marTop w:val="0"/>
              <w:marBottom w:val="0"/>
              <w:divBdr>
                <w:top w:val="none" w:sz="0" w:space="0" w:color="auto"/>
                <w:left w:val="none" w:sz="0" w:space="0" w:color="auto"/>
                <w:bottom w:val="none" w:sz="0" w:space="0" w:color="auto"/>
                <w:right w:val="none" w:sz="0" w:space="0" w:color="auto"/>
              </w:divBdr>
              <w:divsChild>
                <w:div w:id="15345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7344">
      <w:bodyDiv w:val="1"/>
      <w:marLeft w:val="0"/>
      <w:marRight w:val="0"/>
      <w:marTop w:val="0"/>
      <w:marBottom w:val="0"/>
      <w:divBdr>
        <w:top w:val="none" w:sz="0" w:space="0" w:color="auto"/>
        <w:left w:val="none" w:sz="0" w:space="0" w:color="auto"/>
        <w:bottom w:val="none" w:sz="0" w:space="0" w:color="auto"/>
        <w:right w:val="none" w:sz="0" w:space="0" w:color="auto"/>
      </w:divBdr>
    </w:div>
    <w:div w:id="1429472442">
      <w:bodyDiv w:val="1"/>
      <w:marLeft w:val="0"/>
      <w:marRight w:val="0"/>
      <w:marTop w:val="0"/>
      <w:marBottom w:val="0"/>
      <w:divBdr>
        <w:top w:val="none" w:sz="0" w:space="0" w:color="auto"/>
        <w:left w:val="none" w:sz="0" w:space="0" w:color="auto"/>
        <w:bottom w:val="none" w:sz="0" w:space="0" w:color="auto"/>
        <w:right w:val="none" w:sz="0" w:space="0" w:color="auto"/>
      </w:divBdr>
    </w:div>
    <w:div w:id="1634870374">
      <w:bodyDiv w:val="1"/>
      <w:marLeft w:val="0"/>
      <w:marRight w:val="0"/>
      <w:marTop w:val="0"/>
      <w:marBottom w:val="0"/>
      <w:divBdr>
        <w:top w:val="none" w:sz="0" w:space="0" w:color="auto"/>
        <w:left w:val="none" w:sz="0" w:space="0" w:color="auto"/>
        <w:bottom w:val="none" w:sz="0" w:space="0" w:color="auto"/>
        <w:right w:val="none" w:sz="0" w:space="0" w:color="auto"/>
      </w:divBdr>
    </w:div>
    <w:div w:id="17258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CoC-Program-Environmental-Review-Flow-Chart-508-version.pdf" TargetMode="External"/><Relationship Id="rId13" Type="http://schemas.openxmlformats.org/officeDocument/2006/relationships/hyperlink" Target="https://www.hudexchange.info/resource/4045/coc-program-environmental-review-flow-chart/" TargetMode="External"/><Relationship Id="rId18" Type="http://schemas.openxmlformats.org/officeDocument/2006/relationships/hyperlink" Target="https://www.hudexchange.info/resource/3800/limited-scope-environmental-review-coc/" TargetMode="External"/><Relationship Id="rId3" Type="http://schemas.openxmlformats.org/officeDocument/2006/relationships/settings" Target="settings.xml"/><Relationship Id="rId7" Type="http://schemas.openxmlformats.org/officeDocument/2006/relationships/hyperlink" Target="https://www.hudexchange.info/resources/documents/CoC-Program-Environmental-Review-Flow-Chart.pdf" TargetMode="External"/><Relationship Id="rId12" Type="http://schemas.openxmlformats.org/officeDocument/2006/relationships/hyperlink" Target="https://www.hudexchange.info/resource/3139/part-58-environmental-review-cest-format/" TargetMode="External"/><Relationship Id="rId17" Type="http://schemas.openxmlformats.org/officeDocument/2006/relationships/hyperlink" Target="https://www.hudexchange.info/resources/documents/Limited-Scope-Environmental-Review-Format-CoC.docx" TargetMode="External"/><Relationship Id="rId2" Type="http://schemas.openxmlformats.org/officeDocument/2006/relationships/styles" Target="styles.xml"/><Relationship Id="rId16" Type="http://schemas.openxmlformats.org/officeDocument/2006/relationships/hyperlink" Target="https://www.hudexchange.info/resources/documents/Limited-Scope-Environmental-Review-Instructions-CoC.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udexchange.info/resources/documents/CoC-Program-Environmental-Review-Flow-Chart.docx" TargetMode="External"/><Relationship Id="rId11" Type="http://schemas.openxmlformats.org/officeDocument/2006/relationships/hyperlink" Target="https://www.hudexchange.info/resource/3140/part-58-environmental-assessment-form/" TargetMode="External"/><Relationship Id="rId5" Type="http://schemas.openxmlformats.org/officeDocument/2006/relationships/hyperlink" Target="https://www.hudexchange.info/faqs/programs/continuum-of-care-coc-program/" TargetMode="External"/><Relationship Id="rId15" Type="http://schemas.openxmlformats.org/officeDocument/2006/relationships/hyperlink" Target="https://www.hudexchange.info/resource/3139/part-58-environmental-review-cest-format/" TargetMode="External"/><Relationship Id="rId10" Type="http://schemas.openxmlformats.org/officeDocument/2006/relationships/hyperlink" Target="https://www.hudexchange.info/resource/3800/limited-scope-environmental-review-c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dexchange.info/resource/3141/part-58-environmental-review-exempt-or-censt-format/" TargetMode="External"/><Relationship Id="rId14" Type="http://schemas.openxmlformats.org/officeDocument/2006/relationships/hyperlink" Target="https://www.hudexchange.info/resources/documents/Part-58-CEST-Forma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CoC Program Environmental Review Flow Chart</vt:lpstr>
      <vt:lpstr>        Description</vt:lpstr>
      <vt:lpstr>        Resource Links</vt:lpstr>
      <vt:lpstr>        Flow Chart Resource Links (continued)</vt:lpstr>
      <vt:lpstr>    Part 58 Environmental Review - Format for Activities Categorically Excluded unde</vt:lpstr>
      <vt:lpstr>        Description</vt:lpstr>
      <vt:lpstr>        Resource Links</vt:lpstr>
      <vt:lpstr>    Limited Scope Environmental Review CoC</vt:lpstr>
      <vt:lpstr>        Description</vt:lpstr>
      <vt:lpstr>        Resource Links</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Linda</dc:creator>
  <cp:keywords/>
  <dc:description/>
  <cp:lastModifiedBy>Golden, Linda</cp:lastModifiedBy>
  <cp:revision>4</cp:revision>
  <dcterms:created xsi:type="dcterms:W3CDTF">2016-08-17T18:52:00Z</dcterms:created>
  <dcterms:modified xsi:type="dcterms:W3CDTF">2016-08-17T20:04:00Z</dcterms:modified>
</cp:coreProperties>
</file>