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93" w:rsidRPr="00CF0057" w:rsidRDefault="00E00693" w:rsidP="003234EB">
      <w:pPr>
        <w:pBdr>
          <w:bottom w:val="single" w:sz="4" w:space="1" w:color="auto"/>
        </w:pBdr>
        <w:spacing w:after="0" w:line="240" w:lineRule="auto"/>
        <w:jc w:val="center"/>
        <w:rPr>
          <w:rFonts w:cs="Times New Roman"/>
          <w:b/>
          <w:sz w:val="24"/>
          <w:szCs w:val="24"/>
        </w:rPr>
      </w:pPr>
      <w:r w:rsidRPr="00CF0057">
        <w:rPr>
          <w:rFonts w:cs="Times New Roman"/>
          <w:b/>
          <w:sz w:val="24"/>
          <w:szCs w:val="24"/>
        </w:rPr>
        <w:t xml:space="preserve">Wilson-Greene </w:t>
      </w:r>
      <w:r w:rsidR="00263BCE" w:rsidRPr="00CF0057">
        <w:rPr>
          <w:rFonts w:cs="Times New Roman"/>
          <w:b/>
          <w:sz w:val="24"/>
          <w:szCs w:val="24"/>
        </w:rPr>
        <w:t xml:space="preserve">Regional Committee </w:t>
      </w:r>
      <w:r w:rsidR="003234EB" w:rsidRPr="00CF0057">
        <w:rPr>
          <w:rFonts w:cs="Times New Roman"/>
          <w:b/>
          <w:sz w:val="24"/>
          <w:szCs w:val="24"/>
        </w:rPr>
        <w:t xml:space="preserve">Meeting </w:t>
      </w:r>
      <w:r w:rsidR="008952D5" w:rsidRPr="00CF0057">
        <w:rPr>
          <w:rFonts w:cs="Times New Roman"/>
          <w:b/>
          <w:sz w:val="24"/>
          <w:szCs w:val="24"/>
        </w:rPr>
        <w:t>Agenda</w:t>
      </w:r>
    </w:p>
    <w:p w:rsidR="000E7CB8" w:rsidRPr="00CF0057" w:rsidRDefault="000E7CB8" w:rsidP="003234EB">
      <w:pPr>
        <w:pBdr>
          <w:bottom w:val="single" w:sz="4" w:space="1" w:color="auto"/>
        </w:pBdr>
        <w:spacing w:after="0" w:line="240" w:lineRule="auto"/>
        <w:jc w:val="center"/>
        <w:rPr>
          <w:rFonts w:cs="Times New Roman"/>
          <w:b/>
          <w:sz w:val="24"/>
          <w:szCs w:val="24"/>
        </w:rPr>
      </w:pPr>
      <w:r w:rsidRPr="00CF0057">
        <w:rPr>
          <w:rFonts w:cs="Times New Roman"/>
          <w:b/>
          <w:sz w:val="24"/>
          <w:szCs w:val="24"/>
        </w:rPr>
        <w:t>Wesley Shelter</w:t>
      </w:r>
    </w:p>
    <w:p w:rsidR="00E00693" w:rsidRPr="00CF0057" w:rsidRDefault="004726FF" w:rsidP="003234EB">
      <w:pPr>
        <w:pBdr>
          <w:bottom w:val="single" w:sz="4" w:space="1" w:color="auto"/>
        </w:pBdr>
        <w:spacing w:after="0" w:line="240" w:lineRule="auto"/>
        <w:jc w:val="center"/>
        <w:rPr>
          <w:rFonts w:cs="Times New Roman"/>
          <w:b/>
          <w:sz w:val="24"/>
          <w:szCs w:val="24"/>
        </w:rPr>
      </w:pPr>
      <w:r>
        <w:rPr>
          <w:rFonts w:cs="Times New Roman"/>
          <w:b/>
          <w:sz w:val="24"/>
          <w:szCs w:val="24"/>
        </w:rPr>
        <w:t>July 21</w:t>
      </w:r>
      <w:r w:rsidR="007D35D2" w:rsidRPr="00CF0057">
        <w:rPr>
          <w:rFonts w:cs="Times New Roman"/>
          <w:b/>
          <w:sz w:val="24"/>
          <w:szCs w:val="24"/>
        </w:rPr>
        <w:t>, 2015</w:t>
      </w:r>
    </w:p>
    <w:p w:rsidR="000E7CB8" w:rsidRPr="00CF0057" w:rsidRDefault="000E7CB8" w:rsidP="003234EB">
      <w:pPr>
        <w:pBdr>
          <w:bottom w:val="single" w:sz="4" w:space="1" w:color="auto"/>
        </w:pBdr>
        <w:spacing w:after="0" w:line="240" w:lineRule="auto"/>
        <w:jc w:val="center"/>
        <w:rPr>
          <w:rFonts w:cs="Times New Roman"/>
          <w:b/>
          <w:sz w:val="24"/>
          <w:szCs w:val="24"/>
        </w:rPr>
      </w:pPr>
      <w:r w:rsidRPr="00CF0057">
        <w:rPr>
          <w:rFonts w:cs="Times New Roman"/>
          <w:b/>
          <w:sz w:val="24"/>
          <w:szCs w:val="24"/>
        </w:rPr>
        <w:t xml:space="preserve">10:00a.m. </w:t>
      </w:r>
    </w:p>
    <w:p w:rsidR="004D3963" w:rsidRPr="00CF0057" w:rsidRDefault="004D3963" w:rsidP="004D3963">
      <w:pPr>
        <w:pStyle w:val="ListParagraph"/>
        <w:spacing w:after="0"/>
        <w:rPr>
          <w:rFonts w:cs="Times New Roman"/>
          <w:b/>
          <w:sz w:val="24"/>
          <w:szCs w:val="24"/>
        </w:rPr>
      </w:pPr>
    </w:p>
    <w:p w:rsidR="000E7CB8" w:rsidRPr="00CF0057" w:rsidRDefault="00E00693" w:rsidP="000E7CB8">
      <w:pPr>
        <w:pStyle w:val="ListParagraph"/>
        <w:numPr>
          <w:ilvl w:val="0"/>
          <w:numId w:val="4"/>
        </w:numPr>
        <w:spacing w:after="0"/>
        <w:rPr>
          <w:rFonts w:cs="Times New Roman"/>
          <w:b/>
          <w:sz w:val="24"/>
          <w:szCs w:val="24"/>
        </w:rPr>
      </w:pPr>
      <w:r w:rsidRPr="00CF0057">
        <w:rPr>
          <w:rFonts w:cs="Times New Roman"/>
          <w:b/>
          <w:sz w:val="24"/>
          <w:szCs w:val="24"/>
        </w:rPr>
        <w:t>Welcome/Introductions</w:t>
      </w:r>
    </w:p>
    <w:p w:rsidR="00FD59D3" w:rsidRPr="005E5662" w:rsidRDefault="00E00693" w:rsidP="004C16B3">
      <w:pPr>
        <w:pStyle w:val="ListParagraph"/>
        <w:numPr>
          <w:ilvl w:val="0"/>
          <w:numId w:val="4"/>
        </w:numPr>
        <w:rPr>
          <w:rFonts w:cs="Times New Roman"/>
          <w:sz w:val="24"/>
          <w:szCs w:val="24"/>
        </w:rPr>
      </w:pPr>
      <w:r w:rsidRPr="00CF0057">
        <w:rPr>
          <w:rFonts w:cs="Times New Roman"/>
          <w:b/>
          <w:sz w:val="24"/>
          <w:szCs w:val="24"/>
        </w:rPr>
        <w:t>Updates from Balance of State</w:t>
      </w:r>
    </w:p>
    <w:p w:rsidR="006506C4" w:rsidRDefault="006506C4" w:rsidP="006506C4">
      <w:pPr>
        <w:numPr>
          <w:ilvl w:val="0"/>
          <w:numId w:val="21"/>
        </w:numPr>
        <w:spacing w:before="100" w:beforeAutospacing="1" w:after="240" w:line="240" w:lineRule="auto"/>
        <w:rPr>
          <w:rFonts w:eastAsia="Times New Roman"/>
        </w:rPr>
      </w:pPr>
      <w:r>
        <w:rPr>
          <w:rFonts w:ascii="Arial" w:eastAsia="Times New Roman" w:hAnsi="Arial" w:cs="Arial"/>
          <w:b/>
          <w:bCs/>
          <w:sz w:val="20"/>
          <w:szCs w:val="20"/>
        </w:rPr>
        <w:t>2015 Point-in-Time count data </w:t>
      </w:r>
      <w:r>
        <w:rPr>
          <w:rFonts w:ascii="Arial" w:eastAsia="Times New Roman" w:hAnsi="Arial" w:cs="Arial"/>
          <w:sz w:val="20"/>
          <w:szCs w:val="20"/>
        </w:rPr>
        <w:t>is available by county and by Regional Committee on the NCCEH website: </w:t>
      </w:r>
      <w:hyperlink r:id="rId5" w:tgtFrame="_blank" w:history="1">
        <w:r>
          <w:rPr>
            <w:rStyle w:val="Hyperlink"/>
            <w:rFonts w:ascii="Arial" w:eastAsia="Times New Roman" w:hAnsi="Arial" w:cs="Arial"/>
            <w:sz w:val="20"/>
            <w:szCs w:val="20"/>
          </w:rPr>
          <w:t>ncceh.org/</w:t>
        </w:r>
        <w:proofErr w:type="spellStart"/>
        <w:r>
          <w:rPr>
            <w:rStyle w:val="Hyperlink"/>
            <w:rFonts w:ascii="Arial" w:eastAsia="Times New Roman" w:hAnsi="Arial" w:cs="Arial"/>
            <w:sz w:val="20"/>
            <w:szCs w:val="20"/>
          </w:rPr>
          <w:t>pitdata</w:t>
        </w:r>
        <w:proofErr w:type="spellEnd"/>
      </w:hyperlink>
    </w:p>
    <w:p w:rsidR="006506C4" w:rsidRDefault="006506C4" w:rsidP="006506C4">
      <w:pPr>
        <w:numPr>
          <w:ilvl w:val="0"/>
          <w:numId w:val="21"/>
        </w:numPr>
        <w:spacing w:before="100" w:beforeAutospacing="1" w:after="100" w:afterAutospacing="1" w:line="240" w:lineRule="auto"/>
        <w:rPr>
          <w:rFonts w:eastAsia="Times New Roman"/>
        </w:rPr>
      </w:pPr>
      <w:r>
        <w:rPr>
          <w:rFonts w:ascii="Arial" w:eastAsia="Times New Roman" w:hAnsi="Arial" w:cs="Arial"/>
          <w:b/>
          <w:bCs/>
          <w:sz w:val="20"/>
          <w:szCs w:val="20"/>
        </w:rPr>
        <w:t>Coordinated Assessment</w:t>
      </w:r>
      <w:r>
        <w:rPr>
          <w:rFonts w:ascii="Arial" w:eastAsia="Times New Roman" w:hAnsi="Arial" w:cs="Arial"/>
          <w:sz w:val="20"/>
          <w:szCs w:val="20"/>
        </w:rPr>
        <w:t xml:space="preserve"> update</w:t>
      </w:r>
    </w:p>
    <w:p w:rsidR="006506C4" w:rsidRDefault="006506C4" w:rsidP="006506C4">
      <w:pPr>
        <w:numPr>
          <w:ilvl w:val="1"/>
          <w:numId w:val="21"/>
        </w:numPr>
        <w:spacing w:before="100" w:beforeAutospacing="1" w:after="100" w:afterAutospacing="1" w:line="240" w:lineRule="auto"/>
        <w:rPr>
          <w:rFonts w:eastAsia="Times New Roman"/>
        </w:rPr>
      </w:pPr>
      <w:r>
        <w:rPr>
          <w:rFonts w:ascii="Arial" w:eastAsia="Times New Roman" w:hAnsi="Arial" w:cs="Arial"/>
          <w:sz w:val="20"/>
          <w:szCs w:val="20"/>
        </w:rPr>
        <w:t xml:space="preserve">We encourage Coordinated Assessment leads and Regional Leads to attend the new monthly dialogue call, </w:t>
      </w:r>
      <w:proofErr w:type="spellStart"/>
      <w:r>
        <w:rPr>
          <w:rFonts w:ascii="Arial" w:eastAsia="Times New Roman" w:hAnsi="Arial" w:cs="Arial"/>
          <w:sz w:val="20"/>
          <w:szCs w:val="20"/>
        </w:rPr>
        <w:t>BoS</w:t>
      </w:r>
      <w:proofErr w:type="spellEnd"/>
      <w:r>
        <w:rPr>
          <w:rFonts w:ascii="Arial" w:eastAsia="Times New Roman" w:hAnsi="Arial" w:cs="Arial"/>
          <w:sz w:val="20"/>
          <w:szCs w:val="20"/>
        </w:rPr>
        <w:t xml:space="preserve"> Coordinated Assessment Dialogue Group</w:t>
      </w:r>
    </w:p>
    <w:p w:rsidR="006506C4" w:rsidRDefault="006506C4" w:rsidP="006506C4">
      <w:pPr>
        <w:numPr>
          <w:ilvl w:val="2"/>
          <w:numId w:val="21"/>
        </w:numPr>
        <w:spacing w:before="100" w:beforeAutospacing="1" w:after="100" w:afterAutospacing="1" w:line="240" w:lineRule="auto"/>
        <w:rPr>
          <w:rFonts w:eastAsia="Times New Roman"/>
        </w:rPr>
      </w:pPr>
      <w:r>
        <w:rPr>
          <w:rFonts w:ascii="Arial" w:eastAsia="Times New Roman" w:hAnsi="Arial" w:cs="Arial"/>
          <w:sz w:val="20"/>
          <w:szCs w:val="20"/>
        </w:rPr>
        <w:t>Second Tuesdays, 3:00-4:00 p.m.</w:t>
      </w:r>
    </w:p>
    <w:p w:rsidR="006506C4" w:rsidRDefault="006506C4" w:rsidP="006506C4">
      <w:pPr>
        <w:numPr>
          <w:ilvl w:val="2"/>
          <w:numId w:val="21"/>
        </w:numPr>
        <w:spacing w:before="100" w:beforeAutospacing="1" w:after="100" w:afterAutospacing="1" w:line="240" w:lineRule="auto"/>
        <w:rPr>
          <w:rFonts w:eastAsia="Times New Roman"/>
        </w:rPr>
      </w:pPr>
      <w:r>
        <w:rPr>
          <w:rFonts w:ascii="Arial" w:eastAsia="Times New Roman" w:hAnsi="Arial" w:cs="Arial"/>
          <w:sz w:val="20"/>
          <w:szCs w:val="20"/>
        </w:rPr>
        <w:t>First meeting, July 14; Please register on the NCCEH website: </w:t>
      </w:r>
      <w:hyperlink r:id="rId6" w:tgtFrame="_blank" w:history="1">
        <w:r>
          <w:rPr>
            <w:rStyle w:val="Hyperlink"/>
            <w:rFonts w:ascii="Arial" w:eastAsia="Times New Roman" w:hAnsi="Arial" w:cs="Arial"/>
            <w:sz w:val="20"/>
            <w:szCs w:val="20"/>
          </w:rPr>
          <w:t>ncceh.org/events/915</w:t>
        </w:r>
      </w:hyperlink>
    </w:p>
    <w:p w:rsidR="006506C4" w:rsidRDefault="006506C4" w:rsidP="006506C4">
      <w:pPr>
        <w:numPr>
          <w:ilvl w:val="1"/>
          <w:numId w:val="21"/>
        </w:numPr>
        <w:spacing w:before="100" w:beforeAutospacing="1" w:after="100" w:afterAutospacing="1" w:line="240" w:lineRule="auto"/>
        <w:rPr>
          <w:rFonts w:eastAsia="Times New Roman"/>
        </w:rPr>
      </w:pPr>
      <w:r>
        <w:rPr>
          <w:rFonts w:ascii="Arial" w:eastAsia="Times New Roman" w:hAnsi="Arial" w:cs="Arial"/>
        </w:rPr>
        <w:t>Outcome tracking for Regional Committees who have implemented Coordinated Assessment has begun</w:t>
      </w:r>
    </w:p>
    <w:p w:rsidR="006506C4" w:rsidRDefault="006506C4" w:rsidP="006506C4">
      <w:pPr>
        <w:numPr>
          <w:ilvl w:val="2"/>
          <w:numId w:val="21"/>
        </w:numPr>
        <w:spacing w:before="100" w:beforeAutospacing="1" w:after="100" w:afterAutospacing="1" w:line="240" w:lineRule="auto"/>
        <w:rPr>
          <w:rFonts w:eastAsia="Times New Roman"/>
        </w:rPr>
      </w:pPr>
      <w:r>
        <w:rPr>
          <w:rFonts w:ascii="Arial" w:eastAsia="Times New Roman" w:hAnsi="Arial" w:cs="Arial"/>
        </w:rPr>
        <w:t>Training and materials will be posted on NCCEH website</w:t>
      </w:r>
    </w:p>
    <w:p w:rsidR="006506C4" w:rsidRDefault="006506C4" w:rsidP="006506C4">
      <w:pPr>
        <w:numPr>
          <w:ilvl w:val="1"/>
          <w:numId w:val="21"/>
        </w:numPr>
        <w:spacing w:before="100" w:beforeAutospacing="1" w:after="100" w:afterAutospacing="1" w:line="240" w:lineRule="auto"/>
        <w:rPr>
          <w:rFonts w:eastAsia="Times New Roman"/>
        </w:rPr>
      </w:pPr>
      <w:r>
        <w:rPr>
          <w:rFonts w:ascii="Arial" w:eastAsia="Times New Roman" w:hAnsi="Arial" w:cs="Arial"/>
        </w:rPr>
        <w:t>The Steering Committee approved NC 211 to be the resource database for Coordinated Assessment in Balance of State. NCCEH staff will be in touch with Regional Leads and Coordinated Assessment leads with more information and next steps</w:t>
      </w:r>
    </w:p>
    <w:p w:rsidR="006506C4" w:rsidRDefault="006506C4" w:rsidP="006506C4">
      <w:pPr>
        <w:numPr>
          <w:ilvl w:val="0"/>
          <w:numId w:val="22"/>
        </w:numPr>
        <w:spacing w:before="100" w:beforeAutospacing="1" w:after="100" w:afterAutospacing="1" w:line="240" w:lineRule="auto"/>
        <w:rPr>
          <w:rFonts w:eastAsia="Times New Roman"/>
        </w:rPr>
      </w:pPr>
      <w:r>
        <w:rPr>
          <w:rFonts w:ascii="Arial" w:eastAsia="Times New Roman" w:hAnsi="Arial" w:cs="Arial"/>
          <w:b/>
          <w:bCs/>
          <w:sz w:val="20"/>
          <w:szCs w:val="20"/>
        </w:rPr>
        <w:t>2015 CoC grant competition</w:t>
      </w:r>
      <w:r>
        <w:rPr>
          <w:rFonts w:ascii="Arial" w:eastAsia="Times New Roman" w:hAnsi="Arial" w:cs="Arial"/>
          <w:sz w:val="20"/>
          <w:szCs w:val="20"/>
        </w:rPr>
        <w:t xml:space="preserve"> update</w:t>
      </w:r>
    </w:p>
    <w:p w:rsidR="006506C4" w:rsidRDefault="006506C4" w:rsidP="006506C4">
      <w:pPr>
        <w:numPr>
          <w:ilvl w:val="1"/>
          <w:numId w:val="22"/>
        </w:numPr>
        <w:spacing w:before="100" w:beforeAutospacing="1" w:after="100" w:afterAutospacing="1" w:line="240" w:lineRule="auto"/>
        <w:rPr>
          <w:rFonts w:eastAsia="Times New Roman"/>
        </w:rPr>
      </w:pPr>
      <w:r>
        <w:rPr>
          <w:rFonts w:ascii="Arial" w:eastAsia="Times New Roman" w:hAnsi="Arial" w:cs="Arial"/>
          <w:sz w:val="20"/>
          <w:szCs w:val="20"/>
        </w:rPr>
        <w:t>The Steering Committee approved scorecards for new and renewal projects for the upcoming 2015 CoC grant competition. Approved scorecards will be posted on the NCCEH website.</w:t>
      </w:r>
    </w:p>
    <w:p w:rsidR="006506C4" w:rsidRDefault="006506C4" w:rsidP="006506C4">
      <w:pPr>
        <w:numPr>
          <w:ilvl w:val="1"/>
          <w:numId w:val="22"/>
        </w:numPr>
        <w:spacing w:before="100" w:beforeAutospacing="1" w:after="100" w:afterAutospacing="1" w:line="240" w:lineRule="auto"/>
        <w:rPr>
          <w:rFonts w:eastAsia="Times New Roman"/>
        </w:rPr>
      </w:pPr>
      <w:r>
        <w:rPr>
          <w:rFonts w:ascii="Arial" w:eastAsia="Times New Roman" w:hAnsi="Arial" w:cs="Arial"/>
          <w:sz w:val="20"/>
          <w:szCs w:val="20"/>
        </w:rPr>
        <w:t>Agencies interested in applying for New CoC projects, please complete the </w:t>
      </w:r>
      <w:r>
        <w:rPr>
          <w:rFonts w:ascii="Arial" w:eastAsia="Times New Roman" w:hAnsi="Arial" w:cs="Arial"/>
          <w:b/>
          <w:bCs/>
          <w:sz w:val="20"/>
          <w:szCs w:val="20"/>
        </w:rPr>
        <w:t>2015 CoC Intent to Apply </w:t>
      </w:r>
      <w:r>
        <w:rPr>
          <w:rFonts w:ascii="Arial" w:eastAsia="Times New Roman" w:hAnsi="Arial" w:cs="Arial"/>
          <w:sz w:val="20"/>
          <w:szCs w:val="20"/>
        </w:rPr>
        <w:t>form: </w:t>
      </w:r>
      <w:hyperlink r:id="rId7" w:tgtFrame="_blank" w:history="1">
        <w:r>
          <w:rPr>
            <w:rStyle w:val="Hyperlink"/>
            <w:rFonts w:ascii="Arial" w:eastAsia="Times New Roman" w:hAnsi="Arial" w:cs="Arial"/>
            <w:sz w:val="20"/>
            <w:szCs w:val="20"/>
          </w:rPr>
          <w:t>http://bit.ly/1LEJDzO</w:t>
        </w:r>
        <w:r>
          <w:rPr>
            <w:rFonts w:ascii="Arial" w:eastAsia="Times New Roman" w:hAnsi="Arial" w:cs="Arial"/>
            <w:color w:val="0000FF"/>
            <w:sz w:val="20"/>
            <w:szCs w:val="20"/>
            <w:u w:val="single"/>
          </w:rPr>
          <w:br/>
        </w:r>
      </w:hyperlink>
    </w:p>
    <w:p w:rsidR="006506C4" w:rsidRPr="006506C4" w:rsidRDefault="006506C4" w:rsidP="006506C4">
      <w:pPr>
        <w:numPr>
          <w:ilvl w:val="1"/>
          <w:numId w:val="22"/>
        </w:numPr>
        <w:spacing w:before="100" w:beforeAutospacing="1" w:after="100" w:afterAutospacing="1" w:line="240" w:lineRule="auto"/>
        <w:rPr>
          <w:rFonts w:eastAsia="Times New Roman"/>
        </w:rPr>
      </w:pPr>
      <w:r>
        <w:rPr>
          <w:rFonts w:ascii="Arial" w:eastAsia="Times New Roman" w:hAnsi="Arial" w:cs="Arial"/>
          <w:sz w:val="20"/>
          <w:szCs w:val="20"/>
        </w:rPr>
        <w:t>Regional Committees who have not already done so, appoint a member to 2015 CoC </w:t>
      </w:r>
      <w:r>
        <w:rPr>
          <w:rFonts w:ascii="Arial" w:eastAsia="Times New Roman" w:hAnsi="Arial" w:cs="Arial"/>
          <w:b/>
          <w:bCs/>
          <w:sz w:val="20"/>
          <w:szCs w:val="20"/>
        </w:rPr>
        <w:t>Project Review Committee</w:t>
      </w:r>
      <w:r>
        <w:rPr>
          <w:rFonts w:ascii="Arial" w:eastAsia="Times New Roman" w:hAnsi="Arial" w:cs="Arial"/>
          <w:sz w:val="20"/>
          <w:szCs w:val="20"/>
        </w:rPr>
        <w:t> and submit contact info online: </w:t>
      </w:r>
      <w:hyperlink r:id="rId8" w:tgtFrame="_blank" w:history="1">
        <w:r>
          <w:rPr>
            <w:rStyle w:val="Hyperlink"/>
            <w:rFonts w:ascii="Arial" w:eastAsia="Times New Roman" w:hAnsi="Arial" w:cs="Arial"/>
            <w:sz w:val="20"/>
            <w:szCs w:val="20"/>
          </w:rPr>
          <w:t>http://goo.gl/forms/o7uwZm1vtP</w:t>
        </w:r>
        <w:r>
          <w:rPr>
            <w:rFonts w:ascii="Arial" w:eastAsia="Times New Roman" w:hAnsi="Arial" w:cs="Arial"/>
            <w:color w:val="0000FF"/>
            <w:sz w:val="20"/>
            <w:szCs w:val="20"/>
            <w:u w:val="single"/>
          </w:rPr>
          <w:br/>
        </w:r>
        <w:r>
          <w:rPr>
            <w:rFonts w:ascii="Arial" w:eastAsia="Times New Roman" w:hAnsi="Arial" w:cs="Arial"/>
            <w:color w:val="0000FF"/>
            <w:sz w:val="20"/>
            <w:szCs w:val="20"/>
            <w:u w:val="single"/>
          </w:rPr>
          <w:br/>
        </w:r>
      </w:hyperlink>
    </w:p>
    <w:p w:rsidR="006506C4" w:rsidRDefault="006506C4" w:rsidP="006506C4">
      <w:pPr>
        <w:spacing w:before="100" w:beforeAutospacing="1" w:after="100" w:afterAutospacing="1" w:line="240" w:lineRule="auto"/>
        <w:rPr>
          <w:rFonts w:ascii="Arial" w:eastAsia="Times New Roman" w:hAnsi="Arial" w:cs="Arial"/>
          <w:sz w:val="20"/>
          <w:szCs w:val="20"/>
        </w:rPr>
      </w:pPr>
    </w:p>
    <w:p w:rsidR="006506C4" w:rsidRDefault="006506C4" w:rsidP="006506C4">
      <w:pPr>
        <w:spacing w:before="100" w:beforeAutospacing="1" w:after="100" w:afterAutospacing="1" w:line="240" w:lineRule="auto"/>
        <w:rPr>
          <w:rFonts w:ascii="Arial" w:eastAsia="Times New Roman" w:hAnsi="Arial" w:cs="Arial"/>
          <w:sz w:val="20"/>
          <w:szCs w:val="20"/>
        </w:rPr>
      </w:pPr>
    </w:p>
    <w:p w:rsidR="006506C4" w:rsidRDefault="006506C4" w:rsidP="006506C4">
      <w:pPr>
        <w:spacing w:before="100" w:beforeAutospacing="1" w:after="100" w:afterAutospacing="1" w:line="240" w:lineRule="auto"/>
        <w:rPr>
          <w:rFonts w:ascii="Arial" w:eastAsia="Times New Roman" w:hAnsi="Arial" w:cs="Arial"/>
          <w:sz w:val="20"/>
          <w:szCs w:val="20"/>
        </w:rPr>
      </w:pPr>
    </w:p>
    <w:p w:rsidR="006506C4" w:rsidRDefault="006506C4" w:rsidP="006506C4">
      <w:pPr>
        <w:spacing w:before="100" w:beforeAutospacing="1" w:after="100" w:afterAutospacing="1" w:line="240" w:lineRule="auto"/>
        <w:rPr>
          <w:rFonts w:ascii="Arial" w:eastAsia="Times New Roman" w:hAnsi="Arial" w:cs="Arial"/>
          <w:sz w:val="20"/>
          <w:szCs w:val="20"/>
        </w:rPr>
      </w:pPr>
    </w:p>
    <w:p w:rsidR="006506C4" w:rsidRDefault="006506C4" w:rsidP="006506C4">
      <w:pPr>
        <w:spacing w:before="100" w:beforeAutospacing="1" w:after="100" w:afterAutospacing="1" w:line="240" w:lineRule="auto"/>
        <w:rPr>
          <w:rFonts w:ascii="Arial" w:eastAsia="Times New Roman" w:hAnsi="Arial" w:cs="Arial"/>
          <w:sz w:val="20"/>
          <w:szCs w:val="20"/>
        </w:rPr>
      </w:pPr>
    </w:p>
    <w:p w:rsidR="006506C4" w:rsidRDefault="006506C4" w:rsidP="006506C4">
      <w:pPr>
        <w:spacing w:before="100" w:beforeAutospacing="1" w:after="100" w:afterAutospacing="1" w:line="240" w:lineRule="auto"/>
        <w:rPr>
          <w:rFonts w:eastAsia="Times New Roman"/>
        </w:rPr>
      </w:pPr>
    </w:p>
    <w:p w:rsidR="006506C4" w:rsidRDefault="006506C4" w:rsidP="006506C4">
      <w:pPr>
        <w:numPr>
          <w:ilvl w:val="1"/>
          <w:numId w:val="22"/>
        </w:numPr>
        <w:spacing w:before="100" w:beforeAutospacing="1" w:after="100" w:afterAutospacing="1" w:line="240" w:lineRule="auto"/>
        <w:rPr>
          <w:rFonts w:eastAsia="Times New Roman"/>
        </w:rPr>
      </w:pPr>
      <w:r>
        <w:rPr>
          <w:rFonts w:ascii="Arial" w:eastAsia="Times New Roman" w:hAnsi="Arial" w:cs="Arial"/>
          <w:b/>
          <w:bCs/>
          <w:sz w:val="20"/>
          <w:szCs w:val="20"/>
        </w:rPr>
        <w:lastRenderedPageBreak/>
        <w:t xml:space="preserve">NC HMIS </w:t>
      </w:r>
      <w:r>
        <w:rPr>
          <w:rFonts w:ascii="Arial" w:eastAsia="Times New Roman" w:hAnsi="Arial" w:cs="Arial"/>
          <w:sz w:val="20"/>
          <w:szCs w:val="20"/>
        </w:rPr>
        <w:t>update</w:t>
      </w:r>
    </w:p>
    <w:p w:rsidR="006506C4" w:rsidRDefault="006506C4" w:rsidP="006506C4">
      <w:pPr>
        <w:numPr>
          <w:ilvl w:val="1"/>
          <w:numId w:val="22"/>
        </w:numPr>
        <w:spacing w:before="100" w:beforeAutospacing="1" w:after="100" w:afterAutospacing="1" w:line="240" w:lineRule="auto"/>
        <w:rPr>
          <w:rFonts w:eastAsia="Times New Roman"/>
        </w:rPr>
      </w:pPr>
      <w:r>
        <w:rPr>
          <w:rFonts w:ascii="Arial" w:eastAsia="Times New Roman" w:hAnsi="Arial" w:cs="Arial"/>
          <w:sz w:val="20"/>
          <w:szCs w:val="20"/>
        </w:rPr>
        <w:t xml:space="preserve">Agency </w:t>
      </w:r>
      <w:proofErr w:type="spellStart"/>
      <w:r>
        <w:rPr>
          <w:rFonts w:ascii="Arial" w:eastAsia="Times New Roman" w:hAnsi="Arial" w:cs="Arial"/>
          <w:sz w:val="20"/>
          <w:szCs w:val="20"/>
        </w:rPr>
        <w:t>Admins</w:t>
      </w:r>
      <w:proofErr w:type="spellEnd"/>
      <w:r>
        <w:rPr>
          <w:rFonts w:ascii="Arial" w:eastAsia="Times New Roman" w:hAnsi="Arial" w:cs="Arial"/>
          <w:sz w:val="20"/>
          <w:szCs w:val="20"/>
        </w:rPr>
        <w:t xml:space="preserve"> need to have agency agreements in place by July 10, find more info here:</w:t>
      </w:r>
      <w:r>
        <w:rPr>
          <w:rFonts w:ascii="Arial" w:eastAsia="Times New Roman" w:hAnsi="Arial" w:cs="Arial"/>
          <w:color w:val="CCAF0A"/>
          <w:sz w:val="20"/>
          <w:szCs w:val="20"/>
        </w:rPr>
        <w:t> </w:t>
      </w:r>
      <w:hyperlink r:id="rId9" w:tgtFrame="_blank" w:history="1">
        <w:r>
          <w:rPr>
            <w:rStyle w:val="Hyperlink"/>
            <w:rFonts w:ascii="Arial" w:eastAsia="Times New Roman" w:hAnsi="Arial" w:cs="Arial"/>
            <w:sz w:val="20"/>
            <w:szCs w:val="20"/>
          </w:rPr>
          <w:t>ncceh.org/files/5733/</w:t>
        </w:r>
      </w:hyperlink>
    </w:p>
    <w:p w:rsidR="006506C4" w:rsidRDefault="006506C4" w:rsidP="006506C4">
      <w:pPr>
        <w:numPr>
          <w:ilvl w:val="1"/>
          <w:numId w:val="22"/>
        </w:numPr>
        <w:spacing w:before="100" w:beforeAutospacing="1" w:after="100" w:afterAutospacing="1" w:line="240" w:lineRule="auto"/>
        <w:rPr>
          <w:rFonts w:eastAsia="Times New Roman"/>
        </w:rPr>
      </w:pPr>
      <w:r>
        <w:rPr>
          <w:rFonts w:ascii="Arial" w:eastAsia="Times New Roman" w:hAnsi="Arial" w:cs="Arial"/>
          <w:color w:val="000000"/>
          <w:sz w:val="20"/>
          <w:szCs w:val="20"/>
        </w:rPr>
        <w:t>The Steering Committee approved the list of NC HMIS Governance Committee representatives active July 2015 - June 2016</w:t>
      </w:r>
    </w:p>
    <w:tbl>
      <w:tblPr>
        <w:tblW w:w="5544" w:type="dxa"/>
        <w:tblInd w:w="1440" w:type="dxa"/>
        <w:tblCellMar>
          <w:left w:w="0" w:type="dxa"/>
          <w:right w:w="0" w:type="dxa"/>
        </w:tblCellMar>
        <w:tblLook w:val="04A0"/>
      </w:tblPr>
      <w:tblGrid>
        <w:gridCol w:w="1314"/>
        <w:gridCol w:w="1980"/>
        <w:gridCol w:w="2250"/>
      </w:tblGrid>
      <w:tr w:rsidR="006506C4" w:rsidTr="006506C4">
        <w:trPr>
          <w:trHeight w:val="584"/>
        </w:trPr>
        <w:tc>
          <w:tcPr>
            <w:tcW w:w="1314"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b/>
                <w:bCs/>
              </w:rPr>
              <w:t>Seat</w:t>
            </w:r>
          </w:p>
        </w:tc>
        <w:tc>
          <w:tcPr>
            <w:tcW w:w="1980" w:type="dxa"/>
            <w:tcBorders>
              <w:top w:val="single" w:sz="8" w:space="0" w:color="auto"/>
              <w:left w:val="nil"/>
              <w:bottom w:val="single" w:sz="24" w:space="0" w:color="auto"/>
              <w:right w:val="single" w:sz="8" w:space="0" w:color="auto"/>
            </w:tcBorders>
            <w:shd w:val="clear" w:color="auto" w:fill="6EA0B0"/>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b/>
                <w:bCs/>
              </w:rPr>
              <w:t>Rep</w:t>
            </w:r>
          </w:p>
        </w:tc>
        <w:tc>
          <w:tcPr>
            <w:tcW w:w="2250" w:type="dxa"/>
            <w:tcBorders>
              <w:top w:val="single" w:sz="8" w:space="0" w:color="auto"/>
              <w:left w:val="nil"/>
              <w:bottom w:val="single" w:sz="24" w:space="0" w:color="auto"/>
              <w:right w:val="single" w:sz="8" w:space="0" w:color="auto"/>
            </w:tcBorders>
            <w:shd w:val="clear" w:color="auto" w:fill="6EA0B0"/>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b/>
                <w:bCs/>
              </w:rPr>
              <w:t>Alternate</w:t>
            </w:r>
          </w:p>
        </w:tc>
      </w:tr>
      <w:tr w:rsidR="006506C4" w:rsidTr="006506C4">
        <w:trPr>
          <w:trHeight w:val="584"/>
        </w:trPr>
        <w:tc>
          <w:tcPr>
            <w:tcW w:w="1314" w:type="dxa"/>
            <w:tcBorders>
              <w:top w:val="nil"/>
              <w:left w:val="single" w:sz="8" w:space="0" w:color="auto"/>
              <w:bottom w:val="single" w:sz="8" w:space="0" w:color="auto"/>
              <w:right w:val="single" w:sz="8" w:space="0" w:color="auto"/>
            </w:tcBorders>
            <w:shd w:val="clear" w:color="auto" w:fill="D5DFE4"/>
            <w:tcMar>
              <w:top w:w="72" w:type="dxa"/>
              <w:left w:w="144" w:type="dxa"/>
              <w:bottom w:w="72" w:type="dxa"/>
              <w:right w:w="144" w:type="dxa"/>
            </w:tcMar>
            <w:hideMark/>
          </w:tcPr>
          <w:p w:rsidR="006506C4" w:rsidRDefault="006506C4">
            <w:pPr>
              <w:spacing w:before="100" w:beforeAutospacing="1"/>
              <w:rPr>
                <w:rFonts w:eastAsiaTheme="minorHAnsi"/>
                <w:sz w:val="24"/>
                <w:szCs w:val="24"/>
              </w:rPr>
            </w:pPr>
            <w:proofErr w:type="spellStart"/>
            <w:r>
              <w:rPr>
                <w:rFonts w:ascii="Perpetua" w:hAnsi="Perpetua"/>
              </w:rPr>
              <w:t>BoS</w:t>
            </w:r>
            <w:proofErr w:type="spellEnd"/>
          </w:p>
        </w:tc>
        <w:tc>
          <w:tcPr>
            <w:tcW w:w="1980" w:type="dxa"/>
            <w:tcBorders>
              <w:top w:val="nil"/>
              <w:left w:val="nil"/>
              <w:bottom w:val="single" w:sz="8" w:space="0" w:color="auto"/>
              <w:right w:val="single" w:sz="8" w:space="0" w:color="auto"/>
            </w:tcBorders>
            <w:shd w:val="clear" w:color="auto" w:fill="D5DFE4"/>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Corey Root</w:t>
            </w:r>
          </w:p>
        </w:tc>
        <w:tc>
          <w:tcPr>
            <w:tcW w:w="2250" w:type="dxa"/>
            <w:tcBorders>
              <w:top w:val="nil"/>
              <w:left w:val="nil"/>
              <w:bottom w:val="single" w:sz="8" w:space="0" w:color="auto"/>
              <w:right w:val="single" w:sz="8" w:space="0" w:color="auto"/>
            </w:tcBorders>
            <w:shd w:val="clear" w:color="auto" w:fill="D5DFE4"/>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Tia Sanders-Rice</w:t>
            </w:r>
          </w:p>
        </w:tc>
      </w:tr>
      <w:tr w:rsidR="006506C4" w:rsidTr="006506C4">
        <w:trPr>
          <w:trHeight w:val="584"/>
        </w:trPr>
        <w:tc>
          <w:tcPr>
            <w:tcW w:w="1314" w:type="dxa"/>
            <w:tcBorders>
              <w:top w:val="nil"/>
              <w:left w:val="single" w:sz="8" w:space="0" w:color="auto"/>
              <w:bottom w:val="single" w:sz="8" w:space="0" w:color="auto"/>
              <w:right w:val="single" w:sz="8" w:space="0" w:color="auto"/>
            </w:tcBorders>
            <w:shd w:val="clear" w:color="auto" w:fill="EBF0F2"/>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Region 1</w:t>
            </w:r>
          </w:p>
        </w:tc>
        <w:tc>
          <w:tcPr>
            <w:tcW w:w="1980" w:type="dxa"/>
            <w:tcBorders>
              <w:top w:val="nil"/>
              <w:left w:val="nil"/>
              <w:bottom w:val="single" w:sz="8" w:space="0" w:color="auto"/>
              <w:right w:val="single" w:sz="8" w:space="0" w:color="auto"/>
            </w:tcBorders>
            <w:shd w:val="clear" w:color="auto" w:fill="EBF0F2"/>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Brian Alexander</w:t>
            </w:r>
          </w:p>
        </w:tc>
        <w:tc>
          <w:tcPr>
            <w:tcW w:w="2250" w:type="dxa"/>
            <w:tcBorders>
              <w:top w:val="nil"/>
              <w:left w:val="nil"/>
              <w:bottom w:val="single" w:sz="8" w:space="0" w:color="auto"/>
              <w:right w:val="single" w:sz="8" w:space="0" w:color="auto"/>
            </w:tcBorders>
            <w:shd w:val="clear" w:color="auto" w:fill="EBF0F2"/>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 xml:space="preserve">David </w:t>
            </w:r>
            <w:proofErr w:type="spellStart"/>
            <w:r>
              <w:rPr>
                <w:rFonts w:ascii="Perpetua" w:hAnsi="Perpetua"/>
              </w:rPr>
              <w:t>Jacklin</w:t>
            </w:r>
            <w:proofErr w:type="spellEnd"/>
          </w:p>
        </w:tc>
      </w:tr>
      <w:tr w:rsidR="006506C4" w:rsidTr="006506C4">
        <w:trPr>
          <w:trHeight w:val="584"/>
        </w:trPr>
        <w:tc>
          <w:tcPr>
            <w:tcW w:w="1314" w:type="dxa"/>
            <w:tcBorders>
              <w:top w:val="nil"/>
              <w:left w:val="single" w:sz="8" w:space="0" w:color="auto"/>
              <w:bottom w:val="single" w:sz="8" w:space="0" w:color="auto"/>
              <w:right w:val="single" w:sz="8" w:space="0" w:color="auto"/>
            </w:tcBorders>
            <w:shd w:val="clear" w:color="auto" w:fill="D5DFE4"/>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Region 2</w:t>
            </w:r>
          </w:p>
        </w:tc>
        <w:tc>
          <w:tcPr>
            <w:tcW w:w="1980" w:type="dxa"/>
            <w:tcBorders>
              <w:top w:val="nil"/>
              <w:left w:val="nil"/>
              <w:bottom w:val="single" w:sz="8" w:space="0" w:color="auto"/>
              <w:right w:val="single" w:sz="8" w:space="0" w:color="auto"/>
            </w:tcBorders>
            <w:shd w:val="clear" w:color="auto" w:fill="D5DFE4"/>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Kim Crawford</w:t>
            </w:r>
          </w:p>
        </w:tc>
        <w:tc>
          <w:tcPr>
            <w:tcW w:w="2250" w:type="dxa"/>
            <w:tcBorders>
              <w:top w:val="nil"/>
              <w:left w:val="nil"/>
              <w:bottom w:val="single" w:sz="8" w:space="0" w:color="auto"/>
              <w:right w:val="single" w:sz="8" w:space="0" w:color="auto"/>
            </w:tcBorders>
            <w:shd w:val="clear" w:color="auto" w:fill="D5DFE4"/>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Jan Bowman</w:t>
            </w:r>
          </w:p>
        </w:tc>
      </w:tr>
      <w:tr w:rsidR="006506C4" w:rsidTr="006506C4">
        <w:trPr>
          <w:trHeight w:val="584"/>
        </w:trPr>
        <w:tc>
          <w:tcPr>
            <w:tcW w:w="1314" w:type="dxa"/>
            <w:tcBorders>
              <w:top w:val="nil"/>
              <w:left w:val="single" w:sz="8" w:space="0" w:color="auto"/>
              <w:bottom w:val="single" w:sz="8" w:space="0" w:color="auto"/>
              <w:right w:val="single" w:sz="8" w:space="0" w:color="auto"/>
            </w:tcBorders>
            <w:shd w:val="clear" w:color="auto" w:fill="EBF0F2"/>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Region 3</w:t>
            </w:r>
          </w:p>
        </w:tc>
        <w:tc>
          <w:tcPr>
            <w:tcW w:w="1980" w:type="dxa"/>
            <w:tcBorders>
              <w:top w:val="nil"/>
              <w:left w:val="nil"/>
              <w:bottom w:val="single" w:sz="8" w:space="0" w:color="auto"/>
              <w:right w:val="single" w:sz="8" w:space="0" w:color="auto"/>
            </w:tcBorders>
            <w:shd w:val="clear" w:color="auto" w:fill="EBF0F2"/>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Nicole Dewitt</w:t>
            </w:r>
          </w:p>
        </w:tc>
        <w:tc>
          <w:tcPr>
            <w:tcW w:w="2250" w:type="dxa"/>
            <w:tcBorders>
              <w:top w:val="nil"/>
              <w:left w:val="nil"/>
              <w:bottom w:val="single" w:sz="8" w:space="0" w:color="auto"/>
              <w:right w:val="single" w:sz="8" w:space="0" w:color="auto"/>
            </w:tcBorders>
            <w:shd w:val="clear" w:color="auto" w:fill="EBF0F2"/>
            <w:tcMar>
              <w:top w:w="72" w:type="dxa"/>
              <w:left w:w="144" w:type="dxa"/>
              <w:bottom w:w="72" w:type="dxa"/>
              <w:right w:w="144" w:type="dxa"/>
            </w:tcMar>
            <w:hideMark/>
          </w:tcPr>
          <w:p w:rsidR="006506C4" w:rsidRDefault="006506C4">
            <w:pPr>
              <w:spacing w:before="100" w:beforeAutospacing="1"/>
              <w:rPr>
                <w:rFonts w:eastAsiaTheme="minorHAnsi"/>
                <w:sz w:val="24"/>
                <w:szCs w:val="24"/>
              </w:rPr>
            </w:pPr>
            <w:r>
              <w:rPr>
                <w:rFonts w:ascii="Perpetua" w:hAnsi="Perpetua"/>
              </w:rPr>
              <w:t>Matt Alexander</w:t>
            </w:r>
          </w:p>
        </w:tc>
      </w:tr>
    </w:tbl>
    <w:p w:rsidR="006506C4" w:rsidRDefault="006506C4" w:rsidP="006506C4">
      <w:pPr>
        <w:spacing w:before="100" w:beforeAutospacing="1" w:after="100" w:afterAutospacing="1" w:line="240" w:lineRule="auto"/>
        <w:ind w:left="720" w:firstLine="720"/>
        <w:rPr>
          <w:rFonts w:eastAsia="Times New Roman"/>
        </w:rPr>
      </w:pPr>
      <w:r>
        <w:rPr>
          <w:rFonts w:ascii="Arial" w:eastAsia="Times New Roman" w:hAnsi="Arial" w:cs="Arial"/>
          <w:color w:val="000000"/>
          <w:sz w:val="20"/>
          <w:szCs w:val="20"/>
        </w:rPr>
        <w:t xml:space="preserve">There are </w:t>
      </w:r>
      <w:proofErr w:type="gramStart"/>
      <w:r>
        <w:rPr>
          <w:rFonts w:ascii="Arial" w:eastAsia="Times New Roman" w:hAnsi="Arial" w:cs="Arial"/>
          <w:color w:val="000000"/>
          <w:sz w:val="20"/>
          <w:szCs w:val="20"/>
        </w:rPr>
        <w:t>many </w:t>
      </w:r>
      <w:r>
        <w:rPr>
          <w:rFonts w:ascii="Arial" w:eastAsia="Times New Roman" w:hAnsi="Arial" w:cs="Arial"/>
          <w:b/>
          <w:bCs/>
          <w:color w:val="000000"/>
          <w:sz w:val="20"/>
          <w:szCs w:val="20"/>
        </w:rPr>
        <w:t>trainings</w:t>
      </w:r>
      <w:proofErr w:type="gramEnd"/>
      <w:r>
        <w:rPr>
          <w:rFonts w:ascii="Arial" w:eastAsia="Times New Roman" w:hAnsi="Arial" w:cs="Arial"/>
          <w:b/>
          <w:bCs/>
          <w:color w:val="000000"/>
          <w:sz w:val="20"/>
          <w:szCs w:val="20"/>
        </w:rPr>
        <w:t xml:space="preserve"> in July:</w:t>
      </w:r>
    </w:p>
    <w:p w:rsidR="006506C4" w:rsidRDefault="006506C4" w:rsidP="006506C4">
      <w:pPr>
        <w:numPr>
          <w:ilvl w:val="2"/>
          <w:numId w:val="22"/>
        </w:numPr>
        <w:spacing w:before="100" w:beforeAutospacing="1" w:after="100" w:afterAutospacing="1" w:line="240" w:lineRule="auto"/>
        <w:rPr>
          <w:rFonts w:eastAsia="Times New Roman"/>
        </w:rPr>
      </w:pPr>
      <w:r>
        <w:rPr>
          <w:rFonts w:eastAsia="Times New Roman"/>
        </w:rPr>
        <w:t xml:space="preserve">Rapid </w:t>
      </w:r>
      <w:proofErr w:type="spellStart"/>
      <w:r>
        <w:rPr>
          <w:rFonts w:eastAsia="Times New Roman"/>
        </w:rPr>
        <w:t>Rehousing</w:t>
      </w:r>
      <w:proofErr w:type="spellEnd"/>
      <w:r>
        <w:rPr>
          <w:rFonts w:eastAsia="Times New Roman"/>
        </w:rPr>
        <w:t>: Beyond the Basics, all-day in-person</w:t>
      </w:r>
    </w:p>
    <w:p w:rsidR="006506C4" w:rsidRDefault="006506C4" w:rsidP="006506C4">
      <w:pPr>
        <w:numPr>
          <w:ilvl w:val="3"/>
          <w:numId w:val="22"/>
        </w:numPr>
        <w:spacing w:before="100" w:beforeAutospacing="1" w:after="100" w:afterAutospacing="1" w:line="240" w:lineRule="auto"/>
        <w:rPr>
          <w:rFonts w:eastAsia="Times New Roman"/>
        </w:rPr>
      </w:pPr>
      <w:r>
        <w:rPr>
          <w:rFonts w:eastAsia="Times New Roman"/>
        </w:rPr>
        <w:t>Charlotte, 7/22: </w:t>
      </w:r>
      <w:hyperlink r:id="rId10" w:tgtFrame="_blank" w:history="1">
        <w:r>
          <w:rPr>
            <w:rStyle w:val="Hyperlink"/>
            <w:rFonts w:eastAsia="Times New Roman"/>
          </w:rPr>
          <w:t>ncceh.org/events/891</w:t>
        </w:r>
      </w:hyperlink>
    </w:p>
    <w:p w:rsidR="006506C4" w:rsidRDefault="006506C4" w:rsidP="006506C4">
      <w:pPr>
        <w:numPr>
          <w:ilvl w:val="3"/>
          <w:numId w:val="22"/>
        </w:numPr>
        <w:spacing w:before="100" w:beforeAutospacing="1" w:after="100" w:afterAutospacing="1" w:line="240" w:lineRule="auto"/>
        <w:rPr>
          <w:rFonts w:eastAsia="Times New Roman"/>
        </w:rPr>
      </w:pPr>
      <w:r>
        <w:rPr>
          <w:rFonts w:eastAsia="Times New Roman"/>
        </w:rPr>
        <w:t>Raleigh, 7/28: </w:t>
      </w:r>
      <w:hyperlink r:id="rId11" w:tgtFrame="_blank" w:history="1">
        <w:r>
          <w:rPr>
            <w:rStyle w:val="Hyperlink"/>
            <w:rFonts w:eastAsia="Times New Roman"/>
          </w:rPr>
          <w:t>ncceh.org/events/892</w:t>
        </w:r>
      </w:hyperlink>
    </w:p>
    <w:p w:rsidR="006506C4" w:rsidRDefault="006506C4" w:rsidP="006506C4">
      <w:pPr>
        <w:numPr>
          <w:ilvl w:val="2"/>
          <w:numId w:val="22"/>
        </w:numPr>
        <w:spacing w:before="100" w:beforeAutospacing="1" w:after="100" w:afterAutospacing="1" w:line="240" w:lineRule="auto"/>
        <w:rPr>
          <w:rFonts w:eastAsia="Times New Roman"/>
        </w:rPr>
      </w:pPr>
      <w:r>
        <w:rPr>
          <w:rFonts w:eastAsia="Times New Roman"/>
        </w:rPr>
        <w:t>Housing First webinars</w:t>
      </w:r>
    </w:p>
    <w:p w:rsidR="006506C4" w:rsidRDefault="006506C4" w:rsidP="006506C4">
      <w:pPr>
        <w:numPr>
          <w:ilvl w:val="3"/>
          <w:numId w:val="22"/>
        </w:numPr>
        <w:spacing w:before="100" w:beforeAutospacing="1" w:after="100" w:afterAutospacing="1" w:line="240" w:lineRule="auto"/>
        <w:rPr>
          <w:rFonts w:eastAsia="Times New Roman"/>
        </w:rPr>
      </w:pPr>
      <w:r>
        <w:rPr>
          <w:rFonts w:eastAsia="Times New Roman"/>
        </w:rPr>
        <w:t>Housing First 101, 7/9, 3:00 - 4:30 pm: </w:t>
      </w:r>
      <w:hyperlink r:id="rId12" w:tgtFrame="_blank" w:history="1">
        <w:r>
          <w:rPr>
            <w:rStyle w:val="Hyperlink"/>
            <w:rFonts w:eastAsia="Times New Roman"/>
          </w:rPr>
          <w:t>ncceh.org/events/919</w:t>
        </w:r>
      </w:hyperlink>
    </w:p>
    <w:p w:rsidR="006506C4" w:rsidRDefault="006506C4" w:rsidP="006506C4">
      <w:pPr>
        <w:numPr>
          <w:ilvl w:val="3"/>
          <w:numId w:val="22"/>
        </w:numPr>
        <w:spacing w:before="100" w:beforeAutospacing="1" w:after="100" w:afterAutospacing="1" w:line="240" w:lineRule="auto"/>
        <w:rPr>
          <w:rFonts w:eastAsia="Times New Roman"/>
        </w:rPr>
      </w:pPr>
      <w:r>
        <w:rPr>
          <w:rFonts w:eastAsia="Times New Roman"/>
        </w:rPr>
        <w:t>Housing First in Housing Programs, 7/24, 1:00 - 2:30 pm: </w:t>
      </w:r>
      <w:hyperlink r:id="rId13" w:tgtFrame="_blank" w:history="1">
        <w:r>
          <w:rPr>
            <w:rStyle w:val="Hyperlink"/>
            <w:rFonts w:eastAsia="Times New Roman"/>
          </w:rPr>
          <w:t>ncceh.org/events/920</w:t>
        </w:r>
      </w:hyperlink>
    </w:p>
    <w:p w:rsidR="006506C4" w:rsidRDefault="006506C4" w:rsidP="006506C4">
      <w:pPr>
        <w:numPr>
          <w:ilvl w:val="3"/>
          <w:numId w:val="22"/>
        </w:numPr>
        <w:spacing w:before="100" w:beforeAutospacing="1" w:after="100" w:afterAutospacing="1" w:line="240" w:lineRule="auto"/>
        <w:rPr>
          <w:rFonts w:eastAsia="Times New Roman"/>
        </w:rPr>
      </w:pPr>
      <w:r>
        <w:rPr>
          <w:rFonts w:eastAsia="Times New Roman"/>
        </w:rPr>
        <w:t>Housing First in a Shelter Setting, 7/27, 1:00 - 2:30 pm: </w:t>
      </w:r>
      <w:hyperlink r:id="rId14" w:tgtFrame="_blank" w:history="1">
        <w:r>
          <w:rPr>
            <w:rStyle w:val="Hyperlink"/>
            <w:rFonts w:eastAsia="Times New Roman"/>
          </w:rPr>
          <w:t>ncceh.org/events/921</w:t>
        </w:r>
      </w:hyperlink>
    </w:p>
    <w:p w:rsidR="006506C4" w:rsidRDefault="006506C4" w:rsidP="006506C4">
      <w:pPr>
        <w:numPr>
          <w:ilvl w:val="2"/>
          <w:numId w:val="22"/>
        </w:numPr>
        <w:spacing w:before="100" w:beforeAutospacing="1" w:after="100" w:afterAutospacing="1" w:line="240" w:lineRule="auto"/>
        <w:rPr>
          <w:rFonts w:eastAsia="Times New Roman"/>
        </w:rPr>
      </w:pPr>
      <w:r>
        <w:rPr>
          <w:rFonts w:eastAsia="Times New Roman"/>
        </w:rPr>
        <w:t>NCCADV Training: Housing &amp; Homelessness, all-day, in-person</w:t>
      </w:r>
    </w:p>
    <w:p w:rsidR="006506C4" w:rsidRDefault="006506C4" w:rsidP="006506C4">
      <w:pPr>
        <w:numPr>
          <w:ilvl w:val="3"/>
          <w:numId w:val="22"/>
        </w:numPr>
        <w:spacing w:before="100" w:beforeAutospacing="1" w:after="100" w:afterAutospacing="1" w:line="240" w:lineRule="auto"/>
        <w:rPr>
          <w:rFonts w:eastAsia="Times New Roman"/>
        </w:rPr>
      </w:pPr>
      <w:r>
        <w:rPr>
          <w:rFonts w:eastAsia="Times New Roman"/>
        </w:rPr>
        <w:t>Wilson, 7/20:  </w:t>
      </w:r>
      <w:hyperlink r:id="rId15" w:tgtFrame="_blank" w:history="1">
        <w:r>
          <w:rPr>
            <w:rStyle w:val="Hyperlink"/>
            <w:rFonts w:eastAsia="Times New Roman"/>
          </w:rPr>
          <w:t>http://nccadv.org/training/training-calendar</w:t>
        </w:r>
      </w:hyperlink>
    </w:p>
    <w:p w:rsidR="006506C4" w:rsidRDefault="006506C4">
      <w:pPr>
        <w:rPr>
          <w:rFonts w:cs="Times New Roman"/>
          <w:b/>
          <w:sz w:val="24"/>
          <w:szCs w:val="24"/>
        </w:rPr>
      </w:pPr>
    </w:p>
    <w:p w:rsidR="006506C4" w:rsidRPr="006506C4" w:rsidRDefault="006506C4" w:rsidP="006506C4">
      <w:pPr>
        <w:pStyle w:val="ListParagraph"/>
        <w:numPr>
          <w:ilvl w:val="0"/>
          <w:numId w:val="25"/>
        </w:numPr>
        <w:tabs>
          <w:tab w:val="left" w:pos="1875"/>
        </w:tabs>
        <w:rPr>
          <w:rFonts w:cs="Times New Roman"/>
          <w:b/>
          <w:sz w:val="24"/>
          <w:szCs w:val="24"/>
        </w:rPr>
      </w:pPr>
      <w:r w:rsidRPr="006506C4">
        <w:rPr>
          <w:rFonts w:cs="Times New Roman"/>
          <w:b/>
          <w:sz w:val="24"/>
          <w:szCs w:val="24"/>
        </w:rPr>
        <w:t>Selection of Project Review Committee</w:t>
      </w:r>
    </w:p>
    <w:p w:rsidR="006506C4" w:rsidRPr="006506C4" w:rsidRDefault="006506C4" w:rsidP="006506C4">
      <w:pPr>
        <w:pStyle w:val="ListParagraph"/>
        <w:numPr>
          <w:ilvl w:val="0"/>
          <w:numId w:val="25"/>
        </w:numPr>
        <w:tabs>
          <w:tab w:val="left" w:pos="1875"/>
        </w:tabs>
        <w:rPr>
          <w:rFonts w:cs="Times New Roman"/>
          <w:b/>
          <w:sz w:val="24"/>
          <w:szCs w:val="24"/>
        </w:rPr>
      </w:pPr>
      <w:r w:rsidRPr="006506C4">
        <w:rPr>
          <w:rFonts w:cs="Times New Roman"/>
          <w:b/>
          <w:sz w:val="24"/>
          <w:szCs w:val="24"/>
        </w:rPr>
        <w:t>Report on Fiscal Agent for future ESG grants</w:t>
      </w:r>
    </w:p>
    <w:p w:rsidR="006506C4" w:rsidRPr="006506C4" w:rsidRDefault="006506C4" w:rsidP="006506C4">
      <w:pPr>
        <w:pStyle w:val="ListParagraph"/>
        <w:numPr>
          <w:ilvl w:val="0"/>
          <w:numId w:val="25"/>
        </w:numPr>
        <w:tabs>
          <w:tab w:val="left" w:pos="1875"/>
        </w:tabs>
        <w:rPr>
          <w:rFonts w:cs="Times New Roman"/>
          <w:b/>
          <w:sz w:val="24"/>
          <w:szCs w:val="24"/>
        </w:rPr>
      </w:pPr>
      <w:r w:rsidRPr="006506C4">
        <w:rPr>
          <w:rFonts w:cs="Times New Roman"/>
          <w:b/>
          <w:sz w:val="24"/>
          <w:szCs w:val="24"/>
        </w:rPr>
        <w:t xml:space="preserve">Property Manager Meeting Report – Twala Colman </w:t>
      </w:r>
    </w:p>
    <w:p w:rsidR="006506C4" w:rsidRPr="006506C4" w:rsidRDefault="006506C4" w:rsidP="006506C4">
      <w:pPr>
        <w:pStyle w:val="ListParagraph"/>
        <w:numPr>
          <w:ilvl w:val="0"/>
          <w:numId w:val="25"/>
        </w:numPr>
        <w:tabs>
          <w:tab w:val="left" w:pos="1875"/>
        </w:tabs>
        <w:rPr>
          <w:rFonts w:cs="Times New Roman"/>
          <w:b/>
          <w:sz w:val="24"/>
          <w:szCs w:val="24"/>
        </w:rPr>
      </w:pPr>
      <w:r w:rsidRPr="006506C4">
        <w:rPr>
          <w:rFonts w:cs="Times New Roman"/>
          <w:b/>
          <w:sz w:val="24"/>
          <w:szCs w:val="24"/>
        </w:rPr>
        <w:t>Community Partner Updates</w:t>
      </w:r>
    </w:p>
    <w:p w:rsidR="00E32FCE" w:rsidRPr="006506C4" w:rsidRDefault="00CC3F3A" w:rsidP="006506C4">
      <w:pPr>
        <w:tabs>
          <w:tab w:val="left" w:pos="1875"/>
        </w:tabs>
        <w:rPr>
          <w:rFonts w:cs="Times New Roman"/>
          <w:sz w:val="24"/>
          <w:szCs w:val="24"/>
        </w:rPr>
      </w:pPr>
    </w:p>
    <w:sectPr w:rsidR="00E32FCE" w:rsidRPr="006506C4" w:rsidSect="00856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3087"/>
    <w:multiLevelType w:val="multilevel"/>
    <w:tmpl w:val="B7D85D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09E94EF8"/>
    <w:multiLevelType w:val="multilevel"/>
    <w:tmpl w:val="7B7E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6937D2"/>
    <w:multiLevelType w:val="multilevel"/>
    <w:tmpl w:val="702A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12754B4A"/>
    <w:multiLevelType w:val="multilevel"/>
    <w:tmpl w:val="32D0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B15301"/>
    <w:multiLevelType w:val="hybridMultilevel"/>
    <w:tmpl w:val="0C92A8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E55A7"/>
    <w:multiLevelType w:val="hybridMultilevel"/>
    <w:tmpl w:val="4A1A2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42BDF"/>
    <w:multiLevelType w:val="hybridMultilevel"/>
    <w:tmpl w:val="71C2C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A22FE4"/>
    <w:multiLevelType w:val="multilevel"/>
    <w:tmpl w:val="F828A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734973"/>
    <w:multiLevelType w:val="multilevel"/>
    <w:tmpl w:val="F064F5C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nsid w:val="45C25AF7"/>
    <w:multiLevelType w:val="hybridMultilevel"/>
    <w:tmpl w:val="F682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66FB2"/>
    <w:multiLevelType w:val="multilevel"/>
    <w:tmpl w:val="89BC7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A8536B"/>
    <w:multiLevelType w:val="hybridMultilevel"/>
    <w:tmpl w:val="E99CA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AD70D2"/>
    <w:multiLevelType w:val="hybridMultilevel"/>
    <w:tmpl w:val="27567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E5A7194"/>
    <w:multiLevelType w:val="multilevel"/>
    <w:tmpl w:val="2038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D6DB9"/>
    <w:multiLevelType w:val="multilevel"/>
    <w:tmpl w:val="4AEC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DCB48C9"/>
    <w:multiLevelType w:val="multilevel"/>
    <w:tmpl w:val="1A6CF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DD13EC7"/>
    <w:multiLevelType w:val="hybridMultilevel"/>
    <w:tmpl w:val="6D9C9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AE3B7E"/>
    <w:multiLevelType w:val="multilevel"/>
    <w:tmpl w:val="24FE9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9"/>
  </w:num>
  <w:num w:numId="3">
    <w:abstractNumId w:val="15"/>
  </w:num>
  <w:num w:numId="4">
    <w:abstractNumId w:val="21"/>
  </w:num>
  <w:num w:numId="5">
    <w:abstractNumId w:val="3"/>
  </w:num>
  <w:num w:numId="6">
    <w:abstractNumId w:val="22"/>
  </w:num>
  <w:num w:numId="7">
    <w:abstractNumId w:val="18"/>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9"/>
  </w:num>
  <w:num w:numId="19">
    <w:abstractNumId w:val="14"/>
  </w:num>
  <w:num w:numId="20">
    <w:abstractNumId w:val="12"/>
  </w:num>
  <w:num w:numId="21">
    <w:abstractNumId w:val="0"/>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0693"/>
    <w:rsid w:val="00053866"/>
    <w:rsid w:val="000875A9"/>
    <w:rsid w:val="00090B7F"/>
    <w:rsid w:val="000A7B5F"/>
    <w:rsid w:val="000D0148"/>
    <w:rsid w:val="000E7CB8"/>
    <w:rsid w:val="00121E80"/>
    <w:rsid w:val="001300D7"/>
    <w:rsid w:val="00180E37"/>
    <w:rsid w:val="001D315E"/>
    <w:rsid w:val="001D6851"/>
    <w:rsid w:val="001F597F"/>
    <w:rsid w:val="00230017"/>
    <w:rsid w:val="00237E3D"/>
    <w:rsid w:val="00263BCE"/>
    <w:rsid w:val="00277D8F"/>
    <w:rsid w:val="002C656D"/>
    <w:rsid w:val="00303EDD"/>
    <w:rsid w:val="003234EB"/>
    <w:rsid w:val="0032453D"/>
    <w:rsid w:val="003562D6"/>
    <w:rsid w:val="00370750"/>
    <w:rsid w:val="00371C7D"/>
    <w:rsid w:val="00463262"/>
    <w:rsid w:val="004726FF"/>
    <w:rsid w:val="004C16B3"/>
    <w:rsid w:val="004D3963"/>
    <w:rsid w:val="005102FA"/>
    <w:rsid w:val="00513DC5"/>
    <w:rsid w:val="00542B6C"/>
    <w:rsid w:val="0054353C"/>
    <w:rsid w:val="005A5101"/>
    <w:rsid w:val="005C7AAF"/>
    <w:rsid w:val="005D0FF7"/>
    <w:rsid w:val="005E5662"/>
    <w:rsid w:val="006106CB"/>
    <w:rsid w:val="0062241C"/>
    <w:rsid w:val="00635933"/>
    <w:rsid w:val="006506C4"/>
    <w:rsid w:val="00690DFB"/>
    <w:rsid w:val="007D35D2"/>
    <w:rsid w:val="007D5EAB"/>
    <w:rsid w:val="00820831"/>
    <w:rsid w:val="008414DF"/>
    <w:rsid w:val="008526A8"/>
    <w:rsid w:val="00856116"/>
    <w:rsid w:val="00894433"/>
    <w:rsid w:val="008952D5"/>
    <w:rsid w:val="00931069"/>
    <w:rsid w:val="00953B16"/>
    <w:rsid w:val="00991ADC"/>
    <w:rsid w:val="009A6441"/>
    <w:rsid w:val="009D4084"/>
    <w:rsid w:val="00AA058D"/>
    <w:rsid w:val="00AC6D31"/>
    <w:rsid w:val="00B0450F"/>
    <w:rsid w:val="00B060A8"/>
    <w:rsid w:val="00B34A1E"/>
    <w:rsid w:val="00B60980"/>
    <w:rsid w:val="00BE5C8C"/>
    <w:rsid w:val="00C17CE9"/>
    <w:rsid w:val="00C57789"/>
    <w:rsid w:val="00C64A0A"/>
    <w:rsid w:val="00C917B4"/>
    <w:rsid w:val="00CB437B"/>
    <w:rsid w:val="00CC3F3A"/>
    <w:rsid w:val="00CD3962"/>
    <w:rsid w:val="00CF0057"/>
    <w:rsid w:val="00D22EAE"/>
    <w:rsid w:val="00D33118"/>
    <w:rsid w:val="00D55574"/>
    <w:rsid w:val="00DB78F4"/>
    <w:rsid w:val="00DE2915"/>
    <w:rsid w:val="00E00693"/>
    <w:rsid w:val="00E55911"/>
    <w:rsid w:val="00E728E0"/>
    <w:rsid w:val="00F01ED7"/>
    <w:rsid w:val="00F6637B"/>
    <w:rsid w:val="00F82540"/>
    <w:rsid w:val="00FD3684"/>
    <w:rsid w:val="00FD59D3"/>
    <w:rsid w:val="00FE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57094575">
      <w:bodyDiv w:val="1"/>
      <w:marLeft w:val="0"/>
      <w:marRight w:val="0"/>
      <w:marTop w:val="0"/>
      <w:marBottom w:val="0"/>
      <w:divBdr>
        <w:top w:val="none" w:sz="0" w:space="0" w:color="auto"/>
        <w:left w:val="none" w:sz="0" w:space="0" w:color="auto"/>
        <w:bottom w:val="none" w:sz="0" w:space="0" w:color="auto"/>
        <w:right w:val="none" w:sz="0" w:space="0" w:color="auto"/>
      </w:divBdr>
    </w:div>
    <w:div w:id="138115890">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826939186">
      <w:bodyDiv w:val="1"/>
      <w:marLeft w:val="0"/>
      <w:marRight w:val="0"/>
      <w:marTop w:val="0"/>
      <w:marBottom w:val="0"/>
      <w:divBdr>
        <w:top w:val="none" w:sz="0" w:space="0" w:color="auto"/>
        <w:left w:val="none" w:sz="0" w:space="0" w:color="auto"/>
        <w:bottom w:val="none" w:sz="0" w:space="0" w:color="auto"/>
        <w:right w:val="none" w:sz="0" w:space="0" w:color="auto"/>
      </w:divBdr>
    </w:div>
    <w:div w:id="912082129">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091661119">
      <w:bodyDiv w:val="1"/>
      <w:marLeft w:val="0"/>
      <w:marRight w:val="0"/>
      <w:marTop w:val="0"/>
      <w:marBottom w:val="0"/>
      <w:divBdr>
        <w:top w:val="none" w:sz="0" w:space="0" w:color="auto"/>
        <w:left w:val="none" w:sz="0" w:space="0" w:color="auto"/>
        <w:bottom w:val="none" w:sz="0" w:space="0" w:color="auto"/>
        <w:right w:val="none" w:sz="0" w:space="0" w:color="auto"/>
      </w:divBdr>
    </w:div>
    <w:div w:id="1224947737">
      <w:bodyDiv w:val="1"/>
      <w:marLeft w:val="0"/>
      <w:marRight w:val="0"/>
      <w:marTop w:val="0"/>
      <w:marBottom w:val="0"/>
      <w:divBdr>
        <w:top w:val="none" w:sz="0" w:space="0" w:color="auto"/>
        <w:left w:val="none" w:sz="0" w:space="0" w:color="auto"/>
        <w:bottom w:val="none" w:sz="0" w:space="0" w:color="auto"/>
        <w:right w:val="none" w:sz="0" w:space="0" w:color="auto"/>
      </w:divBdr>
    </w:div>
    <w:div w:id="1299845753">
      <w:bodyDiv w:val="1"/>
      <w:marLeft w:val="0"/>
      <w:marRight w:val="0"/>
      <w:marTop w:val="0"/>
      <w:marBottom w:val="0"/>
      <w:divBdr>
        <w:top w:val="none" w:sz="0" w:space="0" w:color="auto"/>
        <w:left w:val="none" w:sz="0" w:space="0" w:color="auto"/>
        <w:bottom w:val="none" w:sz="0" w:space="0" w:color="auto"/>
        <w:right w:val="none" w:sz="0" w:space="0" w:color="auto"/>
      </w:divBdr>
    </w:div>
    <w:div w:id="1428847736">
      <w:bodyDiv w:val="1"/>
      <w:marLeft w:val="0"/>
      <w:marRight w:val="0"/>
      <w:marTop w:val="0"/>
      <w:marBottom w:val="0"/>
      <w:divBdr>
        <w:top w:val="none" w:sz="0" w:space="0" w:color="auto"/>
        <w:left w:val="none" w:sz="0" w:space="0" w:color="auto"/>
        <w:bottom w:val="none" w:sz="0" w:space="0" w:color="auto"/>
        <w:right w:val="none" w:sz="0" w:space="0" w:color="auto"/>
      </w:divBdr>
    </w:div>
    <w:div w:id="1460877465">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 w:id="1817646252">
      <w:bodyDiv w:val="1"/>
      <w:marLeft w:val="0"/>
      <w:marRight w:val="0"/>
      <w:marTop w:val="0"/>
      <w:marBottom w:val="0"/>
      <w:divBdr>
        <w:top w:val="none" w:sz="0" w:space="0" w:color="auto"/>
        <w:left w:val="none" w:sz="0" w:space="0" w:color="auto"/>
        <w:bottom w:val="none" w:sz="0" w:space="0" w:color="auto"/>
        <w:right w:val="none" w:sz="0" w:space="0" w:color="auto"/>
      </w:divBdr>
    </w:div>
    <w:div w:id="1849101237">
      <w:bodyDiv w:val="1"/>
      <w:marLeft w:val="0"/>
      <w:marRight w:val="0"/>
      <w:marTop w:val="0"/>
      <w:marBottom w:val="0"/>
      <w:divBdr>
        <w:top w:val="none" w:sz="0" w:space="0" w:color="auto"/>
        <w:left w:val="none" w:sz="0" w:space="0" w:color="auto"/>
        <w:bottom w:val="none" w:sz="0" w:space="0" w:color="auto"/>
        <w:right w:val="none" w:sz="0" w:space="0" w:color="auto"/>
      </w:divBdr>
    </w:div>
    <w:div w:id="1938558027">
      <w:bodyDiv w:val="1"/>
      <w:marLeft w:val="0"/>
      <w:marRight w:val="0"/>
      <w:marTop w:val="0"/>
      <w:marBottom w:val="0"/>
      <w:divBdr>
        <w:top w:val="none" w:sz="0" w:space="0" w:color="auto"/>
        <w:left w:val="none" w:sz="0" w:space="0" w:color="auto"/>
        <w:bottom w:val="none" w:sz="0" w:space="0" w:color="auto"/>
        <w:right w:val="none" w:sz="0" w:space="0" w:color="auto"/>
      </w:divBdr>
    </w:div>
    <w:div w:id="1971088031">
      <w:bodyDiv w:val="1"/>
      <w:marLeft w:val="0"/>
      <w:marRight w:val="0"/>
      <w:marTop w:val="0"/>
      <w:marBottom w:val="0"/>
      <w:divBdr>
        <w:top w:val="none" w:sz="0" w:space="0" w:color="auto"/>
        <w:left w:val="none" w:sz="0" w:space="0" w:color="auto"/>
        <w:bottom w:val="none" w:sz="0" w:space="0" w:color="auto"/>
        <w:right w:val="none" w:sz="0" w:space="0" w:color="auto"/>
      </w:divBdr>
    </w:div>
    <w:div w:id="2021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forms/o7uwZm1vtP" TargetMode="External"/><Relationship Id="rId13" Type="http://schemas.openxmlformats.org/officeDocument/2006/relationships/hyperlink" Target="http://www.ncceh.org/events/92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it.ly/1LEJDzO" TargetMode="External"/><Relationship Id="rId12" Type="http://schemas.openxmlformats.org/officeDocument/2006/relationships/hyperlink" Target="http://www.ncceh.org/events/9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cceh.org/events/915/" TargetMode="External"/><Relationship Id="rId11" Type="http://schemas.openxmlformats.org/officeDocument/2006/relationships/hyperlink" Target="http://www.ncceh.org/events/892/" TargetMode="External"/><Relationship Id="rId5" Type="http://schemas.openxmlformats.org/officeDocument/2006/relationships/hyperlink" Target="http://ncceh.org/pitdata" TargetMode="External"/><Relationship Id="rId15" Type="http://schemas.openxmlformats.org/officeDocument/2006/relationships/hyperlink" Target="http://nccadv.org/training/training-calendar" TargetMode="External"/><Relationship Id="rId10" Type="http://schemas.openxmlformats.org/officeDocument/2006/relationships/hyperlink" Target="http://www.ncceh.org/events/891/" TargetMode="External"/><Relationship Id="rId4" Type="http://schemas.openxmlformats.org/officeDocument/2006/relationships/webSettings" Target="webSettings.xml"/><Relationship Id="rId9" Type="http://schemas.openxmlformats.org/officeDocument/2006/relationships/hyperlink" Target="http://www.ncceh.org/files/5733/" TargetMode="External"/><Relationship Id="rId14" Type="http://schemas.openxmlformats.org/officeDocument/2006/relationships/hyperlink" Target="http://www.ncceh.org/events/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wcdss</cp:lastModifiedBy>
  <cp:revision>2</cp:revision>
  <dcterms:created xsi:type="dcterms:W3CDTF">2015-07-10T17:03:00Z</dcterms:created>
  <dcterms:modified xsi:type="dcterms:W3CDTF">2015-07-10T17:03:00Z</dcterms:modified>
</cp:coreProperties>
</file>