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93" w:rsidRPr="001D315E" w:rsidRDefault="00E00693" w:rsidP="003234EB">
      <w:pPr>
        <w:pBdr>
          <w:bottom w:val="single" w:sz="4" w:space="1" w:color="auto"/>
        </w:pBdr>
        <w:spacing w:after="0" w:line="240" w:lineRule="auto"/>
        <w:jc w:val="center"/>
        <w:rPr>
          <w:rFonts w:ascii="Times New Roman" w:hAnsi="Times New Roman" w:cs="Times New Roman"/>
          <w:b/>
        </w:rPr>
      </w:pPr>
      <w:bookmarkStart w:id="0" w:name="_GoBack"/>
      <w:bookmarkEnd w:id="0"/>
      <w:r w:rsidRPr="001D315E">
        <w:rPr>
          <w:rFonts w:ascii="Times New Roman" w:hAnsi="Times New Roman" w:cs="Times New Roman"/>
          <w:b/>
        </w:rPr>
        <w:t xml:space="preserve">Wilson-Greene </w:t>
      </w:r>
      <w:r w:rsidR="003234EB" w:rsidRPr="001D315E">
        <w:rPr>
          <w:rFonts w:ascii="Times New Roman" w:hAnsi="Times New Roman" w:cs="Times New Roman"/>
          <w:b/>
        </w:rPr>
        <w:t xml:space="preserve">BoS CoC Meeting </w:t>
      </w:r>
      <w:r w:rsidR="008952D5" w:rsidRPr="001D315E">
        <w:rPr>
          <w:rFonts w:ascii="Times New Roman" w:hAnsi="Times New Roman" w:cs="Times New Roman"/>
          <w:b/>
        </w:rPr>
        <w:t>Agenda</w:t>
      </w:r>
    </w:p>
    <w:p w:rsidR="000E7CB8" w:rsidRPr="001D315E" w:rsidRDefault="000E7CB8"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Wesley Shelter</w:t>
      </w:r>
    </w:p>
    <w:p w:rsidR="00E00693" w:rsidRPr="001D315E" w:rsidRDefault="001D315E"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May 20</w:t>
      </w:r>
      <w:r w:rsidR="006106CB" w:rsidRPr="001D315E">
        <w:rPr>
          <w:rFonts w:ascii="Times New Roman" w:hAnsi="Times New Roman" w:cs="Times New Roman"/>
          <w:b/>
        </w:rPr>
        <w:t>, 2014</w:t>
      </w:r>
    </w:p>
    <w:p w:rsidR="000E7CB8" w:rsidRPr="001D315E" w:rsidRDefault="000E7CB8" w:rsidP="003234EB">
      <w:pPr>
        <w:pBdr>
          <w:bottom w:val="single" w:sz="4" w:space="1" w:color="auto"/>
        </w:pBdr>
        <w:spacing w:after="0" w:line="240" w:lineRule="auto"/>
        <w:jc w:val="center"/>
        <w:rPr>
          <w:rFonts w:ascii="Times New Roman" w:hAnsi="Times New Roman" w:cs="Times New Roman"/>
          <w:b/>
        </w:rPr>
      </w:pPr>
      <w:r w:rsidRPr="001D315E">
        <w:rPr>
          <w:rFonts w:ascii="Times New Roman" w:hAnsi="Times New Roman" w:cs="Times New Roman"/>
          <w:b/>
        </w:rPr>
        <w:t xml:space="preserve">10:00a.m. </w:t>
      </w:r>
    </w:p>
    <w:p w:rsidR="004D3963" w:rsidRPr="004D3963" w:rsidRDefault="004D3963" w:rsidP="004D3963">
      <w:pPr>
        <w:pStyle w:val="ListParagraph"/>
        <w:spacing w:after="0"/>
        <w:rPr>
          <w:rFonts w:ascii="Times New Roman" w:hAnsi="Times New Roman" w:cs="Times New Roman"/>
          <w:b/>
          <w:sz w:val="24"/>
          <w:szCs w:val="24"/>
        </w:rPr>
      </w:pPr>
    </w:p>
    <w:p w:rsidR="000E7CB8" w:rsidRPr="001D315E" w:rsidRDefault="00E00693" w:rsidP="000E7CB8">
      <w:pPr>
        <w:pStyle w:val="ListParagraph"/>
        <w:numPr>
          <w:ilvl w:val="0"/>
          <w:numId w:val="4"/>
        </w:numPr>
        <w:spacing w:after="0"/>
        <w:rPr>
          <w:rFonts w:ascii="Times New Roman" w:hAnsi="Times New Roman" w:cs="Times New Roman"/>
          <w:b/>
        </w:rPr>
      </w:pPr>
      <w:r w:rsidRPr="001D315E">
        <w:rPr>
          <w:rFonts w:ascii="Times New Roman" w:hAnsi="Times New Roman" w:cs="Times New Roman"/>
          <w:b/>
        </w:rPr>
        <w:t>Welcome/Introductions</w:t>
      </w:r>
    </w:p>
    <w:p w:rsidR="004C16B3" w:rsidRPr="001D315E" w:rsidRDefault="00E00693" w:rsidP="004C16B3">
      <w:pPr>
        <w:pStyle w:val="ListParagraph"/>
        <w:numPr>
          <w:ilvl w:val="0"/>
          <w:numId w:val="4"/>
        </w:numPr>
        <w:rPr>
          <w:rFonts w:ascii="Times New Roman" w:hAnsi="Times New Roman" w:cs="Times New Roman"/>
        </w:rPr>
      </w:pPr>
      <w:r w:rsidRPr="001D315E">
        <w:rPr>
          <w:rFonts w:ascii="Times New Roman" w:hAnsi="Times New Roman" w:cs="Times New Roman"/>
          <w:b/>
        </w:rPr>
        <w:t>Updates from Balance of State</w:t>
      </w:r>
      <w:r w:rsidR="000D0148" w:rsidRPr="001D315E">
        <w:rPr>
          <w:rFonts w:ascii="Times New Roman" w:hAnsi="Times New Roman" w:cs="Times New Roman"/>
        </w:rPr>
        <w:t xml:space="preserve"> </w:t>
      </w:r>
    </w:p>
    <w:p w:rsidR="00CD3962" w:rsidRPr="001D315E" w:rsidRDefault="00CD3962" w:rsidP="00CD3962">
      <w:pPr>
        <w:pStyle w:val="ListParagraph"/>
        <w:rPr>
          <w:rFonts w:ascii="Times New Roman" w:hAnsi="Times New Roman" w:cs="Times New Roman"/>
        </w:rPr>
      </w:pPr>
    </w:p>
    <w:p w:rsidR="00CD3962" w:rsidRPr="001D315E" w:rsidRDefault="00CD3962" w:rsidP="00CD3962">
      <w:pPr>
        <w:pStyle w:val="ListParagraph"/>
        <w:numPr>
          <w:ilvl w:val="1"/>
          <w:numId w:val="4"/>
        </w:numPr>
        <w:rPr>
          <w:rFonts w:ascii="Times New Roman" w:hAnsi="Times New Roman" w:cs="Times New Roman"/>
        </w:rPr>
      </w:pPr>
      <w:r w:rsidRPr="001D315E">
        <w:rPr>
          <w:rFonts w:ascii="Times New Roman" w:hAnsi="Times New Roman" w:cs="Times New Roman"/>
        </w:rPr>
        <w:t>Regional committee minutes and information can be accessed at the following link:</w:t>
      </w:r>
    </w:p>
    <w:p w:rsidR="00CD3962" w:rsidRPr="001D315E" w:rsidRDefault="00BF6480" w:rsidP="00CD3962">
      <w:pPr>
        <w:ind w:left="720"/>
      </w:pPr>
      <w:hyperlink r:id="rId6" w:history="1">
        <w:r w:rsidR="00CD3962" w:rsidRPr="001D315E">
          <w:rPr>
            <w:rStyle w:val="Hyperlink"/>
          </w:rPr>
          <w:t>http://www.ncceh.org/bos/wilsongreeneregionalcommittee/</w:t>
        </w:r>
      </w:hyperlink>
      <w:r w:rsidR="00CD3962" w:rsidRPr="001D315E">
        <w:t xml:space="preserve"> </w:t>
      </w:r>
    </w:p>
    <w:p w:rsidR="001D315E" w:rsidRPr="001D315E" w:rsidRDefault="001D315E" w:rsidP="001D315E">
      <w:pPr>
        <w:spacing w:before="100" w:beforeAutospacing="1" w:after="240"/>
      </w:pPr>
      <w:r w:rsidRPr="001D315E">
        <w:rPr>
          <w:b/>
          <w:bCs/>
        </w:rPr>
        <w:t>Point-in-Time count:  </w:t>
      </w:r>
      <w:r w:rsidRPr="001D315E">
        <w:t xml:space="preserve">BoS Point-in-Time Count (PIT) and Housing Inventory Chart (HIC) submitted to HUD on April 18. Sheltered count increased slightly (2%) and unsheltered count decreased significantly (41%). View all NC PIT Count data: </w:t>
      </w:r>
      <w:hyperlink r:id="rId7" w:tgtFrame="_blank" w:history="1">
        <w:r w:rsidRPr="001D315E">
          <w:rPr>
            <w:rStyle w:val="Hyperlink"/>
          </w:rPr>
          <w:t>http://www.ncceh.org/PITdata/</w:t>
        </w:r>
      </w:hyperlink>
      <w:r w:rsidRPr="001D315E">
        <w:t xml:space="preserve"> </w:t>
      </w:r>
    </w:p>
    <w:tbl>
      <w:tblPr>
        <w:tblW w:w="3750" w:type="pct"/>
        <w:tblCellMar>
          <w:left w:w="0" w:type="dxa"/>
          <w:right w:w="0" w:type="dxa"/>
        </w:tblCellMar>
        <w:tblLook w:val="04A0" w:firstRow="1" w:lastRow="0" w:firstColumn="1" w:lastColumn="0" w:noHBand="0" w:noVBand="1"/>
      </w:tblPr>
      <w:tblGrid>
        <w:gridCol w:w="2381"/>
        <w:gridCol w:w="645"/>
        <w:gridCol w:w="1199"/>
        <w:gridCol w:w="1409"/>
        <w:gridCol w:w="1409"/>
      </w:tblGrid>
      <w:tr w:rsidR="001D315E" w:rsidRPr="001D315E" w:rsidTr="001D315E">
        <w:trPr>
          <w:trHeight w:val="432"/>
        </w:trPr>
        <w:tc>
          <w:tcPr>
            <w:tcW w:w="1905" w:type="dxa"/>
            <w:tcBorders>
              <w:top w:val="single" w:sz="8" w:space="0" w:color="FFFFFF"/>
              <w:left w:val="single" w:sz="8" w:space="0" w:color="FFFFFF"/>
              <w:bottom w:val="single" w:sz="24" w:space="0" w:color="FFFFFF"/>
              <w:right w:val="single" w:sz="8" w:space="0" w:color="FFFFFF"/>
            </w:tcBorders>
            <w:shd w:val="clear" w:color="auto" w:fill="6EA0B0"/>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 </w:t>
            </w:r>
          </w:p>
        </w:tc>
        <w:tc>
          <w:tcPr>
            <w:tcW w:w="516"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b/>
                <w:bCs/>
                <w:color w:val="FFFFFF"/>
              </w:rPr>
              <w:t>2014 Total</w:t>
            </w:r>
          </w:p>
        </w:tc>
        <w:tc>
          <w:tcPr>
            <w:tcW w:w="959"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FFFFFF"/>
              </w:rPr>
              <w:t>2013 Total</w:t>
            </w:r>
          </w:p>
        </w:tc>
        <w:tc>
          <w:tcPr>
            <w:tcW w:w="1127"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FFFFFF"/>
              </w:rPr>
              <w:t># Change Since 2013</w:t>
            </w:r>
          </w:p>
        </w:tc>
        <w:tc>
          <w:tcPr>
            <w:tcW w:w="1127" w:type="dxa"/>
            <w:tcBorders>
              <w:top w:val="single" w:sz="8" w:space="0" w:color="auto"/>
              <w:left w:val="nil"/>
              <w:bottom w:val="single" w:sz="24" w:space="0" w:color="auto"/>
              <w:right w:val="single" w:sz="8" w:space="0" w:color="auto"/>
            </w:tcBorders>
            <w:shd w:val="clear" w:color="auto" w:fill="6EA0B0"/>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FFFFFF"/>
              </w:rPr>
              <w:t>% Change Since 2013</w:t>
            </w:r>
          </w:p>
        </w:tc>
      </w:tr>
      <w:tr w:rsidR="001D315E" w:rsidRPr="001D315E" w:rsidTr="001D315E">
        <w:trPr>
          <w:trHeight w:val="432"/>
        </w:trPr>
        <w:tc>
          <w:tcPr>
            <w:tcW w:w="1905" w:type="dxa"/>
            <w:tcBorders>
              <w:top w:val="nil"/>
              <w:left w:val="single" w:sz="8" w:space="0" w:color="auto"/>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textAlignment w:val="bottom"/>
              <w:rPr>
                <w:rFonts w:ascii="Times New Roman" w:hAnsi="Times New Roman" w:cs="Times New Roman"/>
              </w:rPr>
            </w:pPr>
            <w:r w:rsidRPr="001D315E">
              <w:rPr>
                <w:color w:val="000000"/>
              </w:rPr>
              <w:t>All People</w:t>
            </w:r>
          </w:p>
        </w:tc>
        <w:tc>
          <w:tcPr>
            <w:tcW w:w="516"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b/>
                <w:bCs/>
                <w:color w:val="000000"/>
              </w:rPr>
              <w:t>3195</w:t>
            </w:r>
          </w:p>
        </w:tc>
        <w:tc>
          <w:tcPr>
            <w:tcW w:w="959"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3625</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-430</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-12%</w:t>
            </w:r>
          </w:p>
        </w:tc>
      </w:tr>
      <w:tr w:rsidR="001D315E" w:rsidRPr="001D315E" w:rsidTr="001D315E">
        <w:trPr>
          <w:trHeight w:val="432"/>
        </w:trPr>
        <w:tc>
          <w:tcPr>
            <w:tcW w:w="1905" w:type="dxa"/>
            <w:tcBorders>
              <w:top w:val="nil"/>
              <w:left w:val="single" w:sz="8" w:space="0" w:color="auto"/>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right"/>
              <w:textAlignment w:val="bottom"/>
              <w:rPr>
                <w:rFonts w:ascii="Times New Roman" w:hAnsi="Times New Roman" w:cs="Times New Roman"/>
              </w:rPr>
            </w:pPr>
            <w:r w:rsidRPr="001D315E">
              <w:rPr>
                <w:i/>
                <w:iCs/>
                <w:color w:val="000000"/>
              </w:rPr>
              <w:t>Sheltered</w:t>
            </w:r>
          </w:p>
        </w:tc>
        <w:tc>
          <w:tcPr>
            <w:tcW w:w="516"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b/>
                <w:bCs/>
                <w:color w:val="000000"/>
              </w:rPr>
              <w:t>2508</w:t>
            </w:r>
          </w:p>
        </w:tc>
        <w:tc>
          <w:tcPr>
            <w:tcW w:w="959"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2467</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+41</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+2%</w:t>
            </w:r>
          </w:p>
        </w:tc>
      </w:tr>
      <w:tr w:rsidR="001D315E" w:rsidRPr="001D315E" w:rsidTr="001D315E">
        <w:trPr>
          <w:trHeight w:val="432"/>
        </w:trPr>
        <w:tc>
          <w:tcPr>
            <w:tcW w:w="1905" w:type="dxa"/>
            <w:tcBorders>
              <w:top w:val="nil"/>
              <w:left w:val="single" w:sz="8" w:space="0" w:color="auto"/>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right"/>
              <w:textAlignment w:val="bottom"/>
              <w:rPr>
                <w:rFonts w:ascii="Times New Roman" w:hAnsi="Times New Roman" w:cs="Times New Roman"/>
              </w:rPr>
            </w:pPr>
            <w:r w:rsidRPr="001D315E">
              <w:rPr>
                <w:i/>
                <w:iCs/>
                <w:color w:val="000000"/>
              </w:rPr>
              <w:t>Unsheltered</w:t>
            </w:r>
          </w:p>
        </w:tc>
        <w:tc>
          <w:tcPr>
            <w:tcW w:w="516"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b/>
                <w:bCs/>
                <w:color w:val="000000"/>
              </w:rPr>
              <w:t>687</w:t>
            </w:r>
          </w:p>
        </w:tc>
        <w:tc>
          <w:tcPr>
            <w:tcW w:w="959"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1158</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-471</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-41%</w:t>
            </w:r>
          </w:p>
        </w:tc>
      </w:tr>
      <w:tr w:rsidR="001D315E" w:rsidRPr="001D315E" w:rsidTr="001D315E">
        <w:trPr>
          <w:trHeight w:val="432"/>
        </w:trPr>
        <w:tc>
          <w:tcPr>
            <w:tcW w:w="1905" w:type="dxa"/>
            <w:tcBorders>
              <w:top w:val="nil"/>
              <w:left w:val="single" w:sz="8" w:space="0" w:color="auto"/>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textAlignment w:val="bottom"/>
              <w:rPr>
                <w:rFonts w:ascii="Times New Roman" w:hAnsi="Times New Roman" w:cs="Times New Roman"/>
              </w:rPr>
            </w:pPr>
            <w:r w:rsidRPr="001D315E">
              <w:rPr>
                <w:color w:val="000000"/>
              </w:rPr>
              <w:t>Families with Children</w:t>
            </w:r>
          </w:p>
        </w:tc>
        <w:tc>
          <w:tcPr>
            <w:tcW w:w="516"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b/>
                <w:bCs/>
                <w:color w:val="000000"/>
              </w:rPr>
              <w:t>1168</w:t>
            </w:r>
          </w:p>
        </w:tc>
        <w:tc>
          <w:tcPr>
            <w:tcW w:w="959"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1502</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-334</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-22%</w:t>
            </w:r>
          </w:p>
        </w:tc>
      </w:tr>
      <w:tr w:rsidR="001D315E" w:rsidRPr="001D315E" w:rsidTr="001D315E">
        <w:trPr>
          <w:trHeight w:val="432"/>
        </w:trPr>
        <w:tc>
          <w:tcPr>
            <w:tcW w:w="1905" w:type="dxa"/>
            <w:tcBorders>
              <w:top w:val="nil"/>
              <w:left w:val="single" w:sz="8" w:space="0" w:color="auto"/>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textAlignment w:val="bottom"/>
              <w:rPr>
                <w:rFonts w:ascii="Times New Roman" w:hAnsi="Times New Roman" w:cs="Times New Roman"/>
              </w:rPr>
            </w:pPr>
            <w:r w:rsidRPr="001D315E">
              <w:rPr>
                <w:color w:val="000000"/>
              </w:rPr>
              <w:t>Chronically Homeless</w:t>
            </w:r>
          </w:p>
        </w:tc>
        <w:tc>
          <w:tcPr>
            <w:tcW w:w="516"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b/>
                <w:bCs/>
                <w:color w:val="000000"/>
              </w:rPr>
              <w:t>415</w:t>
            </w:r>
          </w:p>
        </w:tc>
        <w:tc>
          <w:tcPr>
            <w:tcW w:w="959"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636</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-221</w:t>
            </w:r>
          </w:p>
        </w:tc>
        <w:tc>
          <w:tcPr>
            <w:tcW w:w="1127" w:type="dxa"/>
            <w:tcBorders>
              <w:top w:val="nil"/>
              <w:left w:val="nil"/>
              <w:bottom w:val="single" w:sz="8" w:space="0" w:color="auto"/>
              <w:right w:val="single" w:sz="8" w:space="0" w:color="auto"/>
            </w:tcBorders>
            <w:shd w:val="clear" w:color="auto" w:fill="D5DFE4"/>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-35%</w:t>
            </w:r>
          </w:p>
        </w:tc>
      </w:tr>
      <w:tr w:rsidR="001D315E" w:rsidRPr="001D315E" w:rsidTr="001D315E">
        <w:trPr>
          <w:trHeight w:val="432"/>
        </w:trPr>
        <w:tc>
          <w:tcPr>
            <w:tcW w:w="1905" w:type="dxa"/>
            <w:tcBorders>
              <w:top w:val="nil"/>
              <w:left w:val="single" w:sz="8" w:space="0" w:color="auto"/>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textAlignment w:val="bottom"/>
              <w:rPr>
                <w:rFonts w:ascii="Times New Roman" w:hAnsi="Times New Roman" w:cs="Times New Roman"/>
              </w:rPr>
            </w:pPr>
            <w:r w:rsidRPr="001D315E">
              <w:rPr>
                <w:color w:val="000000"/>
              </w:rPr>
              <w:t>Veterans</w:t>
            </w:r>
          </w:p>
        </w:tc>
        <w:tc>
          <w:tcPr>
            <w:tcW w:w="516"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b/>
                <w:bCs/>
                <w:color w:val="000000"/>
              </w:rPr>
              <w:t>183</w:t>
            </w:r>
          </w:p>
        </w:tc>
        <w:tc>
          <w:tcPr>
            <w:tcW w:w="959"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209</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-26</w:t>
            </w:r>
          </w:p>
        </w:tc>
        <w:tc>
          <w:tcPr>
            <w:tcW w:w="1127" w:type="dxa"/>
            <w:tcBorders>
              <w:top w:val="nil"/>
              <w:left w:val="nil"/>
              <w:bottom w:val="single" w:sz="8" w:space="0" w:color="auto"/>
              <w:right w:val="single" w:sz="8" w:space="0" w:color="auto"/>
            </w:tcBorders>
            <w:shd w:val="clear" w:color="auto" w:fill="EBF0F2"/>
            <w:tcMar>
              <w:top w:w="15" w:type="dxa"/>
              <w:left w:w="15" w:type="dxa"/>
              <w:bottom w:w="0" w:type="dxa"/>
              <w:right w:w="15" w:type="dxa"/>
            </w:tcMar>
            <w:vAlign w:val="bottom"/>
            <w:hideMark/>
          </w:tcPr>
          <w:p w:rsidR="001D315E" w:rsidRPr="001D315E" w:rsidRDefault="001D315E">
            <w:pPr>
              <w:spacing w:before="100" w:beforeAutospacing="1"/>
              <w:jc w:val="center"/>
              <w:textAlignment w:val="bottom"/>
              <w:rPr>
                <w:rFonts w:ascii="Times New Roman" w:hAnsi="Times New Roman" w:cs="Times New Roman"/>
              </w:rPr>
            </w:pPr>
            <w:r w:rsidRPr="001D315E">
              <w:rPr>
                <w:color w:val="000000"/>
              </w:rPr>
              <w:t>-12%</w:t>
            </w:r>
          </w:p>
        </w:tc>
      </w:tr>
    </w:tbl>
    <w:p w:rsidR="001D315E" w:rsidRPr="001D315E" w:rsidRDefault="001D315E" w:rsidP="001D315E"/>
    <w:p w:rsidR="001D315E" w:rsidRPr="001D315E" w:rsidRDefault="001D315E" w:rsidP="001D315E">
      <w:r w:rsidRPr="001D315E">
        <w:rPr>
          <w:b/>
        </w:rPr>
        <w:t>Coordinated Assessment</w:t>
      </w:r>
      <w:r w:rsidRPr="001D315E">
        <w:t xml:space="preserve"> – Prezi Video and CA worksheet</w:t>
      </w:r>
      <w:r>
        <w:t xml:space="preserve"> (e-mail attachment)</w:t>
      </w:r>
    </w:p>
    <w:p w:rsidR="001D315E" w:rsidRPr="001D315E" w:rsidRDefault="001D315E" w:rsidP="001D315E">
      <w:pPr>
        <w:spacing w:before="100" w:beforeAutospacing="1" w:after="100" w:afterAutospacing="1"/>
      </w:pPr>
      <w:r w:rsidRPr="001D315E">
        <w:rPr>
          <w:b/>
          <w:bCs/>
        </w:rPr>
        <w:t>CHIN licenses:</w:t>
      </w:r>
      <w:r w:rsidRPr="001D315E">
        <w:t xml:space="preserve"> Steering Committee agreed to keep the existing policy in place through December 2014 where BoS CoC pays for BoS CHIN licenses (except SSVF licenses), agencies determine number of licenses they require and all licenses subject to CHIN License Policy. We will delay implementation of unused license allocation (targeting unused licenses to agencies not currently using HMIS) until the HMIS RFP settled and new HMIS training is implemented</w:t>
      </w:r>
    </w:p>
    <w:p w:rsidR="00180E37" w:rsidRPr="001D315E" w:rsidRDefault="00CD3962" w:rsidP="00237E3D">
      <w:pPr>
        <w:pStyle w:val="ListParagraph"/>
        <w:numPr>
          <w:ilvl w:val="0"/>
          <w:numId w:val="3"/>
        </w:numPr>
        <w:rPr>
          <w:rFonts w:ascii="Times New Roman" w:hAnsi="Times New Roman" w:cs="Times New Roman"/>
          <w:b/>
        </w:rPr>
      </w:pPr>
      <w:r w:rsidRPr="001D315E">
        <w:rPr>
          <w:rFonts w:ascii="Times New Roman" w:hAnsi="Times New Roman" w:cs="Times New Roman"/>
          <w:b/>
        </w:rPr>
        <w:t>Landlord/Community Partner Breakfast</w:t>
      </w:r>
    </w:p>
    <w:p w:rsidR="003234EB" w:rsidRPr="001D315E" w:rsidRDefault="005C7AAF" w:rsidP="003234EB">
      <w:pPr>
        <w:pStyle w:val="ListParagraph"/>
        <w:numPr>
          <w:ilvl w:val="0"/>
          <w:numId w:val="3"/>
        </w:numPr>
        <w:rPr>
          <w:rFonts w:ascii="Times New Roman" w:hAnsi="Times New Roman" w:cs="Times New Roman"/>
          <w:b/>
        </w:rPr>
      </w:pPr>
      <w:r w:rsidRPr="001D315E">
        <w:rPr>
          <w:rFonts w:ascii="Times New Roman" w:hAnsi="Times New Roman" w:cs="Times New Roman"/>
          <w:b/>
        </w:rPr>
        <w:t xml:space="preserve">CoC </w:t>
      </w:r>
      <w:r w:rsidR="000E7CB8" w:rsidRPr="001D315E">
        <w:rPr>
          <w:rFonts w:ascii="Times New Roman" w:hAnsi="Times New Roman" w:cs="Times New Roman"/>
          <w:b/>
        </w:rPr>
        <w:t>Co</w:t>
      </w:r>
      <w:r w:rsidRPr="001D315E">
        <w:rPr>
          <w:rFonts w:ascii="Times New Roman" w:hAnsi="Times New Roman" w:cs="Times New Roman"/>
          <w:b/>
        </w:rPr>
        <w:t>mmittee Member Updates</w:t>
      </w:r>
      <w:r w:rsidR="00953B16" w:rsidRPr="001D315E">
        <w:rPr>
          <w:rFonts w:ascii="Times New Roman" w:hAnsi="Times New Roman" w:cs="Times New Roman"/>
          <w:b/>
        </w:rPr>
        <w:t xml:space="preserve">  </w:t>
      </w:r>
    </w:p>
    <w:p w:rsidR="00513DC5" w:rsidRPr="001D315E" w:rsidRDefault="00513DC5" w:rsidP="00513DC5">
      <w:pPr>
        <w:pStyle w:val="ListParagraph"/>
        <w:rPr>
          <w:rFonts w:ascii="Times New Roman" w:hAnsi="Times New Roman" w:cs="Times New Roman"/>
          <w:b/>
        </w:rPr>
      </w:pPr>
    </w:p>
    <w:p w:rsidR="00E32FCE" w:rsidRPr="001D315E" w:rsidRDefault="00371C7D">
      <w:pPr>
        <w:rPr>
          <w:rFonts w:ascii="Times New Roman" w:hAnsi="Times New Roman" w:cs="Times New Roman"/>
          <w:b/>
        </w:rPr>
      </w:pPr>
      <w:r w:rsidRPr="001D315E">
        <w:rPr>
          <w:rFonts w:ascii="Times New Roman" w:hAnsi="Times New Roman" w:cs="Times New Roman"/>
          <w:b/>
        </w:rPr>
        <w:t xml:space="preserve">Next Meeting will </w:t>
      </w:r>
      <w:r w:rsidR="000E7CB8" w:rsidRPr="001D315E">
        <w:rPr>
          <w:rFonts w:ascii="Times New Roman" w:hAnsi="Times New Roman" w:cs="Times New Roman"/>
          <w:b/>
        </w:rPr>
        <w:t>be</w:t>
      </w:r>
      <w:r w:rsidRPr="001D315E">
        <w:rPr>
          <w:rFonts w:ascii="Times New Roman" w:hAnsi="Times New Roman" w:cs="Times New Roman"/>
          <w:b/>
        </w:rPr>
        <w:t xml:space="preserve"> </w:t>
      </w:r>
      <w:r w:rsidR="005C7AAF" w:rsidRPr="001D315E">
        <w:rPr>
          <w:rFonts w:ascii="Times New Roman" w:hAnsi="Times New Roman" w:cs="Times New Roman"/>
          <w:b/>
        </w:rPr>
        <w:t xml:space="preserve">held on </w:t>
      </w:r>
      <w:r w:rsidR="001D315E" w:rsidRPr="001D315E">
        <w:rPr>
          <w:rFonts w:ascii="Times New Roman" w:hAnsi="Times New Roman" w:cs="Times New Roman"/>
          <w:b/>
        </w:rPr>
        <w:t>June 17</w:t>
      </w:r>
      <w:r w:rsidR="008952D5" w:rsidRPr="001D315E">
        <w:rPr>
          <w:rFonts w:ascii="Times New Roman" w:hAnsi="Times New Roman" w:cs="Times New Roman"/>
          <w:b/>
        </w:rPr>
        <w:t xml:space="preserve">, 2014 10:00a.m. at </w:t>
      </w:r>
      <w:r w:rsidR="000E7CB8" w:rsidRPr="001D315E">
        <w:rPr>
          <w:rFonts w:ascii="Times New Roman" w:hAnsi="Times New Roman" w:cs="Times New Roman"/>
          <w:b/>
        </w:rPr>
        <w:t xml:space="preserve">The Wesley Shelter </w:t>
      </w:r>
    </w:p>
    <w:sectPr w:rsidR="00E32FCE" w:rsidRPr="001D315E" w:rsidSect="00856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13EC7"/>
    <w:multiLevelType w:val="hybridMultilevel"/>
    <w:tmpl w:val="2BB87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93"/>
    <w:rsid w:val="00090B7F"/>
    <w:rsid w:val="000A7B5F"/>
    <w:rsid w:val="000D0148"/>
    <w:rsid w:val="000E7CB8"/>
    <w:rsid w:val="001300D7"/>
    <w:rsid w:val="00180E37"/>
    <w:rsid w:val="001D315E"/>
    <w:rsid w:val="001D6851"/>
    <w:rsid w:val="001F597F"/>
    <w:rsid w:val="00237E3D"/>
    <w:rsid w:val="00303EDD"/>
    <w:rsid w:val="003234EB"/>
    <w:rsid w:val="003562D6"/>
    <w:rsid w:val="00370750"/>
    <w:rsid w:val="00371C7D"/>
    <w:rsid w:val="004C16B3"/>
    <w:rsid w:val="004D3963"/>
    <w:rsid w:val="005102FA"/>
    <w:rsid w:val="00513DC5"/>
    <w:rsid w:val="00542B6C"/>
    <w:rsid w:val="005A5101"/>
    <w:rsid w:val="005C7AAF"/>
    <w:rsid w:val="006106CB"/>
    <w:rsid w:val="00690DFB"/>
    <w:rsid w:val="007D5EAB"/>
    <w:rsid w:val="008526A8"/>
    <w:rsid w:val="00856116"/>
    <w:rsid w:val="008952D5"/>
    <w:rsid w:val="00953B16"/>
    <w:rsid w:val="00991ADC"/>
    <w:rsid w:val="009D4084"/>
    <w:rsid w:val="00AA058D"/>
    <w:rsid w:val="00B0450F"/>
    <w:rsid w:val="00BF6480"/>
    <w:rsid w:val="00C17CE9"/>
    <w:rsid w:val="00C64A0A"/>
    <w:rsid w:val="00C917B4"/>
    <w:rsid w:val="00CD3962"/>
    <w:rsid w:val="00D22EAE"/>
    <w:rsid w:val="00D33118"/>
    <w:rsid w:val="00DB78F4"/>
    <w:rsid w:val="00E00693"/>
    <w:rsid w:val="00F01ED7"/>
    <w:rsid w:val="00F6637B"/>
    <w:rsid w:val="00FD3684"/>
    <w:rsid w:val="00FE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cceh.org/PIT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bos/wilsongreeneregionalcommitt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Corey</cp:lastModifiedBy>
  <cp:revision>2</cp:revision>
  <dcterms:created xsi:type="dcterms:W3CDTF">2014-07-10T19:55:00Z</dcterms:created>
  <dcterms:modified xsi:type="dcterms:W3CDTF">2014-07-10T19:55:00Z</dcterms:modified>
</cp:coreProperties>
</file>