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F33C5D" w:rsidP="004C0D70">
            <w:pPr>
              <w:rPr>
                <w:sz w:val="20"/>
              </w:rPr>
            </w:pPr>
            <w:r>
              <w:rPr>
                <w:sz w:val="20"/>
              </w:rPr>
              <w:t>Community Link</w:t>
            </w:r>
          </w:p>
        </w:tc>
        <w:tc>
          <w:tcPr>
            <w:tcW w:w="3372" w:type="dxa"/>
          </w:tcPr>
          <w:p w:rsidR="00B95CF1" w:rsidRPr="00B95CF1" w:rsidRDefault="00F33C5D" w:rsidP="004C0D70">
            <w:pPr>
              <w:rPr>
                <w:sz w:val="20"/>
              </w:rPr>
            </w:pPr>
            <w:r>
              <w:rPr>
                <w:sz w:val="20"/>
              </w:rPr>
              <w:t>PR CoC Casework and Supportive Housing</w:t>
            </w:r>
          </w:p>
        </w:tc>
        <w:tc>
          <w:tcPr>
            <w:tcW w:w="1398" w:type="dxa"/>
          </w:tcPr>
          <w:p w:rsidR="00B95CF1" w:rsidRPr="00B95CF1" w:rsidRDefault="00F33C5D" w:rsidP="004C0D70">
            <w:pPr>
              <w:rPr>
                <w:sz w:val="20"/>
              </w:rPr>
            </w:pPr>
            <w:r>
              <w:rPr>
                <w:sz w:val="20"/>
              </w:rPr>
              <w:t>TH</w:t>
            </w:r>
          </w:p>
        </w:tc>
        <w:tc>
          <w:tcPr>
            <w:tcW w:w="1080" w:type="dxa"/>
          </w:tcPr>
          <w:p w:rsidR="00B95CF1" w:rsidRPr="00B95CF1" w:rsidRDefault="00F33C5D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F33C5D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F33C5D">
              <w:rPr>
                <w:sz w:val="20"/>
              </w:rPr>
              <w:t>273,457</w:t>
            </w:r>
          </w:p>
        </w:tc>
        <w:tc>
          <w:tcPr>
            <w:tcW w:w="117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F33C5D" w:rsidP="004C0D70">
            <w:pPr>
              <w:rPr>
                <w:sz w:val="20"/>
              </w:rPr>
            </w:pPr>
            <w:r>
              <w:rPr>
                <w:sz w:val="20"/>
              </w:rPr>
              <w:t>Lexington Housing Redevelopment Corporation</w:t>
            </w: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Piedmont Behavioral Healthcare</w:t>
            </w:r>
          </w:p>
        </w:tc>
        <w:tc>
          <w:tcPr>
            <w:tcW w:w="3372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PBH-2012 New PSH</w:t>
            </w:r>
          </w:p>
        </w:tc>
        <w:tc>
          <w:tcPr>
            <w:tcW w:w="1398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Piedmont Behavioral Healthcare</w:t>
            </w:r>
          </w:p>
        </w:tc>
        <w:tc>
          <w:tcPr>
            <w:tcW w:w="3372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PBH 2011 Shelter Plus Care Renewal</w:t>
            </w:r>
          </w:p>
        </w:tc>
        <w:tc>
          <w:tcPr>
            <w:tcW w:w="1398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D507CE">
              <w:rPr>
                <w:sz w:val="20"/>
              </w:rPr>
              <w:t>194,456</w:t>
            </w:r>
          </w:p>
        </w:tc>
        <w:tc>
          <w:tcPr>
            <w:tcW w:w="117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Piedmont Behavioral Healthcare</w:t>
            </w:r>
          </w:p>
        </w:tc>
        <w:tc>
          <w:tcPr>
            <w:tcW w:w="3372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Piedmont Behavioral Health 2007 S+C Program</w:t>
            </w:r>
          </w:p>
        </w:tc>
        <w:tc>
          <w:tcPr>
            <w:tcW w:w="1398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D507CE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D507CE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D507CE">
              <w:rPr>
                <w:sz w:val="20"/>
              </w:rPr>
              <w:t>112,709</w:t>
            </w:r>
          </w:p>
        </w:tc>
        <w:tc>
          <w:tcPr>
            <w:tcW w:w="117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F3DC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F3DC9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F3DC9" w:rsidRPr="00B95CF1">
              <w:rPr>
                <w:sz w:val="20"/>
              </w:rPr>
            </w:r>
            <w:r w:rsidR="000F3DC9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F3DC9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F3DC9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F3DC9" w:rsidRPr="00B95CF1">
              <w:rPr>
                <w:sz w:val="20"/>
              </w:rPr>
            </w:r>
            <w:r w:rsidR="000F3DC9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F3DC9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F3DC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D507CE">
        <w:rPr>
          <w:sz w:val="20"/>
        </w:rPr>
        <w:t>Piedmont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D507CE">
        <w:rPr>
          <w:sz w:val="20"/>
        </w:rPr>
        <w:t>Nicole Dewitt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0F3DC9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0F3DC9" w:rsidRPr="00B95CF1">
        <w:rPr>
          <w:sz w:val="20"/>
        </w:rPr>
      </w:r>
      <w:r w:rsidR="000F3DC9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0F3DC9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E5" w:rsidRDefault="002C7BE5" w:rsidP="003B27C2">
      <w:pPr>
        <w:spacing w:after="0" w:line="240" w:lineRule="auto"/>
      </w:pPr>
      <w:r>
        <w:separator/>
      </w:r>
    </w:p>
  </w:endnote>
  <w:endnote w:type="continuationSeparator" w:id="0">
    <w:p w:rsidR="002C7BE5" w:rsidRDefault="002C7BE5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E5" w:rsidRDefault="002C7BE5" w:rsidP="003B27C2">
      <w:pPr>
        <w:spacing w:after="0" w:line="240" w:lineRule="auto"/>
      </w:pPr>
      <w:r>
        <w:separator/>
      </w:r>
    </w:p>
  </w:footnote>
  <w:footnote w:type="continuationSeparator" w:id="0">
    <w:p w:rsidR="002C7BE5" w:rsidRDefault="002C7BE5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C7EF8"/>
    <w:rsid w:val="000F3DC9"/>
    <w:rsid w:val="001058EE"/>
    <w:rsid w:val="001A4234"/>
    <w:rsid w:val="001F3AEC"/>
    <w:rsid w:val="00251A0E"/>
    <w:rsid w:val="00263DAE"/>
    <w:rsid w:val="002B6E0F"/>
    <w:rsid w:val="002C7BE5"/>
    <w:rsid w:val="00365CEA"/>
    <w:rsid w:val="003B27C2"/>
    <w:rsid w:val="004C0D70"/>
    <w:rsid w:val="004E591B"/>
    <w:rsid w:val="00523F19"/>
    <w:rsid w:val="00635DE1"/>
    <w:rsid w:val="006E2E70"/>
    <w:rsid w:val="007811C6"/>
    <w:rsid w:val="007D516A"/>
    <w:rsid w:val="00850357"/>
    <w:rsid w:val="008A7A1C"/>
    <w:rsid w:val="009F3950"/>
    <w:rsid w:val="00B22491"/>
    <w:rsid w:val="00B947B2"/>
    <w:rsid w:val="00B95CF1"/>
    <w:rsid w:val="00C010D9"/>
    <w:rsid w:val="00C71BEF"/>
    <w:rsid w:val="00CE5F8D"/>
    <w:rsid w:val="00D053AF"/>
    <w:rsid w:val="00D507CE"/>
    <w:rsid w:val="00E1050F"/>
    <w:rsid w:val="00EF3477"/>
    <w:rsid w:val="00F33C5D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6EE6-28CB-41E4-A353-91AEF800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2012-12-05T17:58:00Z</dcterms:created>
  <dcterms:modified xsi:type="dcterms:W3CDTF">2012-12-05T17:58:00Z</dcterms:modified>
</cp:coreProperties>
</file>