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4DD9" w14:textId="3F00548C" w:rsidR="006764FB" w:rsidRDefault="006764FB" w:rsidP="00F040F1">
      <w:r>
        <w:rPr>
          <w:noProof/>
        </w:rPr>
        <w:drawing>
          <wp:inline distT="0" distB="0" distL="0" distR="0" wp14:anchorId="0AB8510F" wp14:editId="204EEE33">
            <wp:extent cx="5943600" cy="1028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s_letterh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EA172" w14:textId="77777777" w:rsidR="00D15925" w:rsidRDefault="00D15925" w:rsidP="00F040F1"/>
    <w:p w14:paraId="68D817E9" w14:textId="7F8B08D2" w:rsidR="00D15925" w:rsidRPr="00E2750F" w:rsidRDefault="0050675F" w:rsidP="00D15925">
      <w:pPr>
        <w:jc w:val="center"/>
        <w:rPr>
          <w:b/>
          <w:sz w:val="28"/>
        </w:rPr>
      </w:pPr>
      <w:r w:rsidRPr="009A02C4">
        <w:rPr>
          <w:b/>
          <w:sz w:val="28"/>
        </w:rPr>
        <w:t>Request for Proposals for</w:t>
      </w:r>
      <w:r w:rsidR="001754C0" w:rsidRPr="009A02C4">
        <w:rPr>
          <w:b/>
          <w:sz w:val="28"/>
        </w:rPr>
        <w:t xml:space="preserve"> </w:t>
      </w:r>
      <w:r w:rsidR="00D15925" w:rsidRPr="009A02C4">
        <w:rPr>
          <w:b/>
          <w:sz w:val="28"/>
        </w:rPr>
        <w:t xml:space="preserve">CoC </w:t>
      </w:r>
      <w:r w:rsidR="00004AC0" w:rsidRPr="009A02C4">
        <w:rPr>
          <w:b/>
          <w:sz w:val="28"/>
        </w:rPr>
        <w:t xml:space="preserve">Program </w:t>
      </w:r>
      <w:r w:rsidR="00D15925" w:rsidRPr="00E2750F">
        <w:rPr>
          <w:b/>
          <w:sz w:val="28"/>
        </w:rPr>
        <w:t>Grant Transfers</w:t>
      </w:r>
      <w:r>
        <w:rPr>
          <w:b/>
          <w:sz w:val="28"/>
        </w:rPr>
        <w:t xml:space="preserve">                             </w:t>
      </w:r>
    </w:p>
    <w:p w14:paraId="0C53B9FD" w14:textId="77777777" w:rsidR="00E2750F" w:rsidRPr="00661C70" w:rsidRDefault="00E2750F" w:rsidP="00F040F1">
      <w:pPr>
        <w:rPr>
          <w:sz w:val="16"/>
          <w:szCs w:val="16"/>
        </w:rPr>
      </w:pPr>
    </w:p>
    <w:p w14:paraId="4DCD3E31" w14:textId="3057C4B9" w:rsidR="00070D95" w:rsidRPr="00162749" w:rsidRDefault="00D9454A" w:rsidP="00F040F1">
      <w:r>
        <w:t xml:space="preserve">The North Carolina Balance of State CoC (NC BoS CoC) seeks </w:t>
      </w:r>
      <w:r w:rsidR="001F34D6" w:rsidRPr="009A02C4">
        <w:t>proposals for</w:t>
      </w:r>
      <w:r w:rsidR="00BC68DF" w:rsidRPr="009A02C4">
        <w:t xml:space="preserve"> the transfer of </w:t>
      </w:r>
      <w:r w:rsidR="009F2838" w:rsidRPr="009A02C4">
        <w:t xml:space="preserve">the </w:t>
      </w:r>
      <w:r w:rsidR="00287FA9" w:rsidRPr="009A02C4">
        <w:t xml:space="preserve">following </w:t>
      </w:r>
      <w:r w:rsidR="002D5166" w:rsidRPr="009A02C4">
        <w:rPr>
          <w:u w:val="single"/>
        </w:rPr>
        <w:t>currently operating</w:t>
      </w:r>
      <w:r w:rsidR="002D5166" w:rsidRPr="009A02C4">
        <w:t xml:space="preserve"> </w:t>
      </w:r>
      <w:r w:rsidRPr="009A02C4">
        <w:t xml:space="preserve">Continuum of Care </w:t>
      </w:r>
      <w:r w:rsidR="001A1161" w:rsidRPr="009A02C4">
        <w:t xml:space="preserve">Program </w:t>
      </w:r>
      <w:r w:rsidR="00721360">
        <w:t>grant</w:t>
      </w:r>
      <w:r w:rsidR="00070D95">
        <w:t>s</w:t>
      </w:r>
      <w:r w:rsidR="00721360">
        <w:t>:</w:t>
      </w:r>
    </w:p>
    <w:p w14:paraId="3A684D22" w14:textId="66A6EC60" w:rsidR="007F6886" w:rsidRPr="009304AB" w:rsidRDefault="00070D95" w:rsidP="007F6886">
      <w:pPr>
        <w:pStyle w:val="NormalWeb"/>
        <w:spacing w:before="0" w:beforeAutospacing="0" w:after="0" w:afterAutospacing="0" w:line="21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tab/>
      </w:r>
      <w:bookmarkStart w:id="0" w:name="_Hlk148348384"/>
    </w:p>
    <w:p w14:paraId="14574E98" w14:textId="77777777" w:rsidR="00051369" w:rsidRDefault="007F6886" w:rsidP="007F6886">
      <w:pPr>
        <w:spacing w:line="216" w:lineRule="auto"/>
        <w:ind w:firstLine="720"/>
        <w:rPr>
          <w:rFonts w:ascii="Calibri" w:eastAsia="Calibri" w:hAnsi="Calibri" w:cs="Times New Roman"/>
          <w:color w:val="0B1107" w:themeColor="accent6" w:themeShade="1A"/>
          <w:kern w:val="24"/>
          <w:u w:val="single"/>
        </w:rPr>
      </w:pPr>
      <w:r w:rsidRPr="00F5443E">
        <w:rPr>
          <w:rFonts w:ascii="Calibri" w:eastAsia="Calibri" w:hAnsi="Calibri" w:cs="Times New Roman"/>
          <w:color w:val="0B1107" w:themeColor="accent6" w:themeShade="1A"/>
          <w:kern w:val="24"/>
          <w:u w:val="single"/>
        </w:rPr>
        <w:t>Permanent Supportive Housing:</w:t>
      </w:r>
      <w:r w:rsidR="00051369">
        <w:rPr>
          <w:rFonts w:ascii="Calibri" w:eastAsia="Calibri" w:hAnsi="Calibri" w:cs="Times New Roman"/>
          <w:color w:val="0B1107" w:themeColor="accent6" w:themeShade="1A"/>
          <w:kern w:val="24"/>
          <w:u w:val="single"/>
        </w:rPr>
        <w:t xml:space="preserve"> </w:t>
      </w:r>
    </w:p>
    <w:p w14:paraId="20C180D9" w14:textId="77777777" w:rsidR="00000890" w:rsidRPr="006E266C" w:rsidRDefault="00000890" w:rsidP="00000890">
      <w:pPr>
        <w:ind w:firstLine="720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710452">
        <w:rPr>
          <w:u w:val="single"/>
        </w:rPr>
        <w:t xml:space="preserve">Community Link, Northern PSH Combo, </w:t>
      </w:r>
      <w:r w:rsidRPr="00710452">
        <w:rPr>
          <w:rFonts w:ascii="Arial" w:hAnsi="Arial" w:cs="Arial"/>
          <w:sz w:val="20"/>
          <w:szCs w:val="20"/>
          <w:u w:val="single"/>
          <w:shd w:val="clear" w:color="auto" w:fill="FFFFFF"/>
        </w:rPr>
        <w:t>NC0221L4F032313</w:t>
      </w:r>
    </w:p>
    <w:p w14:paraId="3A78CAE4" w14:textId="091823F1" w:rsidR="00000890" w:rsidRPr="004728D5" w:rsidRDefault="00000890" w:rsidP="004728D5">
      <w:pPr>
        <w:pStyle w:val="ListParagraph"/>
        <w:numPr>
          <w:ilvl w:val="0"/>
          <w:numId w:val="9"/>
        </w:numPr>
        <w:rPr>
          <w:rFonts w:ascii="Calibri" w:hAnsi="Calibri" w:cs="Calibri"/>
          <w:shd w:val="clear" w:color="auto" w:fill="FFFFFF"/>
        </w:rPr>
      </w:pPr>
      <w:r w:rsidRPr="004728D5">
        <w:rPr>
          <w:rFonts w:cstheme="minorHAnsi"/>
          <w:shd w:val="clear" w:color="auto" w:fill="FFFFFF"/>
        </w:rPr>
        <w:t xml:space="preserve">Counties served: </w:t>
      </w:r>
      <w:r w:rsidRPr="004728D5">
        <w:rPr>
          <w:rFonts w:ascii="Calibri" w:hAnsi="Calibri" w:cs="Calibri"/>
          <w:shd w:val="clear" w:color="auto" w:fill="FFFFFF"/>
        </w:rPr>
        <w:t xml:space="preserve">Alamance, Caswell, Chatham, Person, Franklin, Granville, Halifax, Warren, </w:t>
      </w:r>
    </w:p>
    <w:p w14:paraId="470C604C" w14:textId="77777777" w:rsidR="00000890" w:rsidRPr="00710452" w:rsidRDefault="00000890" w:rsidP="008004FF">
      <w:pPr>
        <w:ind w:left="360" w:firstLine="720"/>
        <w:rPr>
          <w:rFonts w:cstheme="minorHAnsi"/>
          <w:shd w:val="clear" w:color="auto" w:fill="FFFFFF"/>
        </w:rPr>
      </w:pPr>
      <w:r w:rsidRPr="00710452">
        <w:rPr>
          <w:rFonts w:ascii="Calibri" w:hAnsi="Calibri" w:cs="Calibri"/>
          <w:shd w:val="clear" w:color="auto" w:fill="FFFFFF"/>
        </w:rPr>
        <w:t xml:space="preserve">Vance and Rockingham </w:t>
      </w:r>
      <w:r w:rsidRPr="00710452">
        <w:rPr>
          <w:rFonts w:cstheme="minorHAnsi"/>
          <w:shd w:val="clear" w:color="auto" w:fill="FFFFFF"/>
        </w:rPr>
        <w:t xml:space="preserve">(NC BoS CoC Region 6 &amp; part of </w:t>
      </w:r>
      <w:proofErr w:type="gramStart"/>
      <w:r w:rsidRPr="00710452">
        <w:rPr>
          <w:rFonts w:cstheme="minorHAnsi"/>
          <w:shd w:val="clear" w:color="auto" w:fill="FFFFFF"/>
        </w:rPr>
        <w:t>Region</w:t>
      </w:r>
      <w:proofErr w:type="gramEnd"/>
      <w:r w:rsidRPr="00710452">
        <w:rPr>
          <w:rFonts w:cstheme="minorHAnsi"/>
          <w:shd w:val="clear" w:color="auto" w:fill="FFFFFF"/>
        </w:rPr>
        <w:t xml:space="preserve"> 9)</w:t>
      </w:r>
    </w:p>
    <w:p w14:paraId="19913F6F" w14:textId="505DF795" w:rsidR="00000890" w:rsidRPr="004728D5" w:rsidRDefault="00000890" w:rsidP="004728D5">
      <w:pPr>
        <w:pStyle w:val="ListParagraph"/>
        <w:numPr>
          <w:ilvl w:val="0"/>
          <w:numId w:val="10"/>
        </w:numPr>
        <w:rPr>
          <w:rFonts w:cstheme="minorHAnsi"/>
          <w:shd w:val="clear" w:color="auto" w:fill="FFFFFF"/>
        </w:rPr>
      </w:pPr>
      <w:r w:rsidRPr="004728D5">
        <w:rPr>
          <w:rFonts w:cstheme="minorHAnsi"/>
          <w:shd w:val="clear" w:color="auto" w:fill="FFFFFF"/>
        </w:rPr>
        <w:t>Budget: $1,453,687 ($1,255,740 in Rental Assistance; $127,836 in Supportive Services; $70,111 in Administrative Costs)</w:t>
      </w:r>
    </w:p>
    <w:p w14:paraId="743B33B4" w14:textId="77777777" w:rsidR="00000890" w:rsidRPr="004728D5" w:rsidRDefault="00000890" w:rsidP="004728D5">
      <w:pPr>
        <w:pStyle w:val="ListParagraph"/>
        <w:numPr>
          <w:ilvl w:val="0"/>
          <w:numId w:val="10"/>
        </w:numPr>
        <w:rPr>
          <w:rFonts w:cstheme="minorHAnsi"/>
          <w:shd w:val="clear" w:color="auto" w:fill="FFFFFF"/>
        </w:rPr>
      </w:pPr>
      <w:r w:rsidRPr="004728D5">
        <w:rPr>
          <w:rFonts w:cstheme="minorHAnsi"/>
          <w:shd w:val="clear" w:color="auto" w:fill="FFFFFF"/>
        </w:rPr>
        <w:t>Units: 119 units were proposed in the last grant application</w:t>
      </w:r>
    </w:p>
    <w:p w14:paraId="1E3B6AF1" w14:textId="77777777" w:rsidR="00000890" w:rsidRPr="004728D5" w:rsidRDefault="00000890" w:rsidP="004728D5">
      <w:pPr>
        <w:pStyle w:val="ListParagraph"/>
        <w:numPr>
          <w:ilvl w:val="0"/>
          <w:numId w:val="10"/>
        </w:numPr>
        <w:rPr>
          <w:rFonts w:cstheme="minorHAnsi"/>
          <w:shd w:val="clear" w:color="auto" w:fill="FFFFFF"/>
        </w:rPr>
      </w:pPr>
      <w:r w:rsidRPr="004728D5">
        <w:rPr>
          <w:rFonts w:cstheme="minorHAnsi"/>
          <w:shd w:val="clear" w:color="auto" w:fill="FFFFFF"/>
        </w:rPr>
        <w:t>Grant operating year: 06/01/2024 – 05/31/2025 (FY2023 Renewal)</w:t>
      </w:r>
    </w:p>
    <w:p w14:paraId="4C99D65E" w14:textId="77777777" w:rsidR="00A804AC" w:rsidRDefault="00A804AC" w:rsidP="007F6886">
      <w:pPr>
        <w:spacing w:line="216" w:lineRule="auto"/>
        <w:ind w:firstLine="720"/>
        <w:rPr>
          <w:rFonts w:ascii="Calibri" w:eastAsia="Calibri" w:hAnsi="Calibri"/>
          <w:color w:val="0B1107" w:themeColor="accent6" w:themeShade="1A"/>
          <w:kern w:val="24"/>
          <w:u w:val="single"/>
        </w:rPr>
      </w:pPr>
    </w:p>
    <w:p w14:paraId="31A287EF" w14:textId="6E22502C" w:rsidR="00A804AC" w:rsidRDefault="00E80043" w:rsidP="00E80043">
      <w:pPr>
        <w:spacing w:line="216" w:lineRule="auto"/>
        <w:ind w:left="720"/>
        <w:rPr>
          <w:rFonts w:ascii="Calibri" w:eastAsia="Calibri" w:hAnsi="Calibri"/>
          <w:color w:val="0B1107" w:themeColor="accent6" w:themeShade="1A"/>
          <w:kern w:val="24"/>
          <w:u w:val="single"/>
        </w:rPr>
      </w:pPr>
      <w:r>
        <w:rPr>
          <w:rFonts w:ascii="Calibri" w:eastAsia="Calibri" w:hAnsi="Calibri"/>
          <w:color w:val="0B1107" w:themeColor="accent6" w:themeShade="1A"/>
          <w:kern w:val="24"/>
          <w:u w:val="single"/>
        </w:rPr>
        <w:t>Permanent Supportive Housing:</w:t>
      </w:r>
    </w:p>
    <w:p w14:paraId="4E63D430" w14:textId="580ACE8B" w:rsidR="007F6886" w:rsidRPr="00F5443E" w:rsidRDefault="00051369" w:rsidP="007F6886">
      <w:pPr>
        <w:spacing w:line="216" w:lineRule="auto"/>
        <w:ind w:firstLine="720"/>
        <w:rPr>
          <w:rFonts w:ascii="Times New Roman" w:eastAsia="Times New Roman" w:hAnsi="Times New Roman" w:cs="Times New Roman"/>
        </w:rPr>
      </w:pPr>
      <w:r w:rsidRPr="00F5443E">
        <w:rPr>
          <w:rFonts w:ascii="Calibri" w:eastAsia="Calibri" w:hAnsi="Calibri"/>
          <w:color w:val="0B1107" w:themeColor="accent6" w:themeShade="1A"/>
          <w:kern w:val="24"/>
          <w:u w:val="single"/>
        </w:rPr>
        <w:t>Pathways to Permanently Hous</w:t>
      </w:r>
      <w:r w:rsidR="001F3D71">
        <w:rPr>
          <w:rFonts w:ascii="Calibri" w:eastAsia="Calibri" w:hAnsi="Calibri"/>
          <w:color w:val="0B1107" w:themeColor="accent6" w:themeShade="1A"/>
          <w:kern w:val="24"/>
          <w:u w:val="single"/>
        </w:rPr>
        <w:t>ed</w:t>
      </w:r>
      <w:r w:rsidRPr="00F5443E">
        <w:rPr>
          <w:rFonts w:ascii="Calibri" w:eastAsia="Calibri" w:hAnsi="Calibri"/>
          <w:color w:val="0B1107" w:themeColor="accent6" w:themeShade="1A"/>
          <w:kern w:val="24"/>
          <w:u w:val="single"/>
        </w:rPr>
        <w:t xml:space="preserve"> Consolidated</w:t>
      </w:r>
      <w:r>
        <w:rPr>
          <w:rFonts w:ascii="Calibri" w:eastAsia="Calibri" w:hAnsi="Calibri"/>
          <w:color w:val="0B1107" w:themeColor="accent6" w:themeShade="1A"/>
          <w:kern w:val="24"/>
          <w:u w:val="single"/>
        </w:rPr>
        <w:t xml:space="preserve">, </w:t>
      </w:r>
      <w:r w:rsidRPr="009304AB">
        <w:rPr>
          <w:rFonts w:cstheme="minorHAnsi"/>
          <w:color w:val="000000"/>
          <w:u w:val="single"/>
          <w:shd w:val="clear" w:color="auto" w:fill="FFFFFF"/>
        </w:rPr>
        <w:t>NC0281L4F032209</w:t>
      </w:r>
    </w:p>
    <w:p w14:paraId="66D0102C" w14:textId="77777777" w:rsidR="007F6886" w:rsidRPr="00F5443E" w:rsidRDefault="007F6886" w:rsidP="007F6886">
      <w:pPr>
        <w:numPr>
          <w:ilvl w:val="0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</w:rPr>
      </w:pPr>
      <w:r w:rsidRPr="00F5443E">
        <w:rPr>
          <w:rFonts w:ascii="Calibri" w:eastAsia="Calibri" w:hAnsi="Calibri" w:cs="Calibri"/>
          <w:color w:val="0B1107" w:themeColor="accent6" w:themeShade="1A"/>
          <w:kern w:val="24"/>
        </w:rPr>
        <w:t>Counties served: Henderson, Transylvania, Rutherford, Polk (Region 2)</w:t>
      </w:r>
    </w:p>
    <w:p w14:paraId="570966E9" w14:textId="0D0F9865" w:rsidR="007F6886" w:rsidRPr="00012D37" w:rsidRDefault="007F6886" w:rsidP="007F6886">
      <w:pPr>
        <w:numPr>
          <w:ilvl w:val="1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</w:rPr>
      </w:pPr>
      <w:r w:rsidRPr="00F5443E">
        <w:rPr>
          <w:rFonts w:ascii="Calibri" w:eastAsia="Calibri" w:hAnsi="Calibri" w:cs="Calibri"/>
          <w:color w:val="0B1107" w:themeColor="accent6" w:themeShade="1A"/>
          <w:kern w:val="24"/>
        </w:rPr>
        <w:t>Budget: $</w:t>
      </w:r>
      <w:r w:rsidR="00B07725">
        <w:rPr>
          <w:rFonts w:ascii="Calibri" w:eastAsia="Calibri" w:hAnsi="Calibri" w:cs="Calibri"/>
          <w:color w:val="0B1107" w:themeColor="accent6" w:themeShade="1A"/>
          <w:kern w:val="24"/>
        </w:rPr>
        <w:t>410,029</w:t>
      </w:r>
      <w:r w:rsidRPr="00F5443E">
        <w:rPr>
          <w:rFonts w:ascii="Calibri" w:eastAsia="Calibri" w:hAnsi="Calibri" w:cs="Calibri"/>
          <w:color w:val="0B1107" w:themeColor="accent6" w:themeShade="1A"/>
          <w:kern w:val="24"/>
        </w:rPr>
        <w:t xml:space="preserve"> ($</w:t>
      </w:r>
      <w:r w:rsidR="00B07725">
        <w:rPr>
          <w:rFonts w:ascii="Calibri" w:eastAsia="Calibri" w:hAnsi="Calibri" w:cs="Calibri"/>
          <w:color w:val="0B1107" w:themeColor="accent6" w:themeShade="1A"/>
          <w:kern w:val="24"/>
        </w:rPr>
        <w:t>358,800</w:t>
      </w:r>
      <w:r w:rsidRPr="00F5443E">
        <w:rPr>
          <w:rFonts w:ascii="Calibri" w:eastAsia="Calibri" w:hAnsi="Calibri" w:cs="Calibri"/>
          <w:color w:val="0B1107" w:themeColor="accent6" w:themeShade="1A"/>
          <w:kern w:val="24"/>
        </w:rPr>
        <w:t xml:space="preserve"> in Rental Assistance; $37,000 in Supportive Services; $14,229 in Administrative Costs)</w:t>
      </w:r>
    </w:p>
    <w:p w14:paraId="6A21FBEF" w14:textId="5C3FA771" w:rsidR="00012D37" w:rsidRPr="00F5443E" w:rsidRDefault="00012D37" w:rsidP="007F6886">
      <w:pPr>
        <w:numPr>
          <w:ilvl w:val="1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B1107" w:themeColor="accent6" w:themeShade="1A"/>
          <w:kern w:val="24"/>
        </w:rPr>
        <w:t xml:space="preserve">Match Required: </w:t>
      </w:r>
      <w:r w:rsidR="00084D09">
        <w:rPr>
          <w:rFonts w:ascii="Calibri" w:eastAsia="Calibri" w:hAnsi="Calibri" w:cs="Calibri"/>
          <w:color w:val="0B1107" w:themeColor="accent6" w:themeShade="1A"/>
          <w:kern w:val="24"/>
        </w:rPr>
        <w:t>$</w:t>
      </w:r>
      <w:r w:rsidR="00B07725">
        <w:rPr>
          <w:rFonts w:ascii="Calibri" w:eastAsia="Calibri" w:hAnsi="Calibri" w:cs="Calibri"/>
          <w:color w:val="0B1107" w:themeColor="accent6" w:themeShade="1A"/>
          <w:kern w:val="24"/>
        </w:rPr>
        <w:t>102,508</w:t>
      </w:r>
    </w:p>
    <w:p w14:paraId="1EBDED4F" w14:textId="77777777" w:rsidR="007F6886" w:rsidRPr="00F5443E" w:rsidRDefault="007F6886" w:rsidP="007F6886">
      <w:pPr>
        <w:numPr>
          <w:ilvl w:val="0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</w:rPr>
      </w:pPr>
      <w:r w:rsidRPr="00F5443E">
        <w:rPr>
          <w:rFonts w:ascii="Calibri" w:eastAsia="Calibri" w:hAnsi="Calibri" w:cs="Calibri"/>
          <w:color w:val="0B1107" w:themeColor="accent6" w:themeShade="1A"/>
          <w:kern w:val="24"/>
        </w:rPr>
        <w:t xml:space="preserve">Units: 22 units </w:t>
      </w:r>
    </w:p>
    <w:p w14:paraId="7745C26B" w14:textId="06C3766C" w:rsidR="007F6886" w:rsidRPr="00F5443E" w:rsidRDefault="007F6886" w:rsidP="007F6886">
      <w:pPr>
        <w:numPr>
          <w:ilvl w:val="0"/>
          <w:numId w:val="7"/>
        </w:numPr>
        <w:spacing w:line="216" w:lineRule="auto"/>
        <w:contextualSpacing/>
        <w:rPr>
          <w:rFonts w:ascii="Times New Roman" w:eastAsia="Times New Roman" w:hAnsi="Times New Roman" w:cs="Times New Roman"/>
        </w:rPr>
      </w:pPr>
      <w:r w:rsidRPr="00F5443E">
        <w:rPr>
          <w:rFonts w:ascii="Calibri" w:eastAsia="Calibri" w:hAnsi="Calibri" w:cs="Calibri"/>
          <w:color w:val="0B1107" w:themeColor="accent6" w:themeShade="1A"/>
          <w:kern w:val="24"/>
        </w:rPr>
        <w:t>Grant operating year: 08/01/202</w:t>
      </w:r>
      <w:r w:rsidR="00B07725">
        <w:rPr>
          <w:rFonts w:ascii="Calibri" w:eastAsia="Calibri" w:hAnsi="Calibri" w:cs="Calibri"/>
          <w:color w:val="0B1107" w:themeColor="accent6" w:themeShade="1A"/>
          <w:kern w:val="24"/>
        </w:rPr>
        <w:t>4</w:t>
      </w:r>
      <w:r w:rsidRPr="00F5443E">
        <w:rPr>
          <w:rFonts w:ascii="Calibri" w:eastAsia="Calibri" w:hAnsi="Calibri" w:cs="Calibri"/>
          <w:color w:val="0B1107" w:themeColor="accent6" w:themeShade="1A"/>
          <w:kern w:val="24"/>
        </w:rPr>
        <w:t xml:space="preserve"> – 07/31/202</w:t>
      </w:r>
      <w:r w:rsidR="00B07725">
        <w:rPr>
          <w:rFonts w:ascii="Calibri" w:eastAsia="Calibri" w:hAnsi="Calibri" w:cs="Calibri"/>
          <w:color w:val="0B1107" w:themeColor="accent6" w:themeShade="1A"/>
          <w:kern w:val="24"/>
        </w:rPr>
        <w:t>5</w:t>
      </w:r>
    </w:p>
    <w:p w14:paraId="253F60B0" w14:textId="77777777" w:rsidR="007F6886" w:rsidRDefault="007F6886" w:rsidP="007F6886">
      <w:pPr>
        <w:rPr>
          <w:rFonts w:cstheme="minorHAnsi"/>
          <w:color w:val="000000"/>
          <w:shd w:val="clear" w:color="auto" w:fill="FFFFFF"/>
        </w:rPr>
      </w:pPr>
    </w:p>
    <w:p w14:paraId="4F479A00" w14:textId="77777777" w:rsidR="00051369" w:rsidRPr="00237B3B" w:rsidRDefault="00051369" w:rsidP="00051369">
      <w:pPr>
        <w:ind w:firstLine="720"/>
      </w:pPr>
      <w:r w:rsidRPr="00237B3B">
        <w:rPr>
          <w:u w:val="single"/>
        </w:rPr>
        <w:t>Rapid Rehousing:</w:t>
      </w:r>
    </w:p>
    <w:p w14:paraId="0B6D17E8" w14:textId="229D7B22" w:rsidR="007F6886" w:rsidRPr="00237B3B" w:rsidRDefault="007F6886" w:rsidP="00051369">
      <w:pPr>
        <w:ind w:firstLine="720"/>
        <w:rPr>
          <w:rFonts w:cstheme="minorHAnsi"/>
          <w:u w:val="single"/>
        </w:rPr>
      </w:pPr>
      <w:r w:rsidRPr="00237B3B">
        <w:rPr>
          <w:u w:val="single"/>
        </w:rPr>
        <w:t>Thrive Rapid Rehousing</w:t>
      </w:r>
      <w:r w:rsidRPr="00782F45">
        <w:rPr>
          <w:rFonts w:cstheme="minorHAnsi"/>
          <w:u w:val="single"/>
        </w:rPr>
        <w:t xml:space="preserve">, </w:t>
      </w:r>
      <w:r w:rsidRPr="00782F45">
        <w:rPr>
          <w:rFonts w:cstheme="minorHAnsi"/>
          <w:color w:val="000000"/>
          <w:u w:val="single"/>
          <w:shd w:val="clear" w:color="auto" w:fill="FFFFFF"/>
        </w:rPr>
        <w:t>NC0466L4F032201</w:t>
      </w:r>
    </w:p>
    <w:p w14:paraId="341E5DDB" w14:textId="77777777" w:rsidR="007F6886" w:rsidRPr="00237B3B" w:rsidRDefault="007F6886" w:rsidP="007F6886">
      <w:pPr>
        <w:numPr>
          <w:ilvl w:val="0"/>
          <w:numId w:val="8"/>
        </w:numPr>
        <w:tabs>
          <w:tab w:val="num" w:pos="720"/>
        </w:tabs>
      </w:pPr>
      <w:r w:rsidRPr="00237B3B">
        <w:t>Counties served: Henderson, Transylvania, Rutherford, Polk (Region 2)</w:t>
      </w:r>
    </w:p>
    <w:p w14:paraId="0C035F6C" w14:textId="10C433D0" w:rsidR="007F6886" w:rsidRPr="00237B3B" w:rsidRDefault="007F6886" w:rsidP="007F6886">
      <w:pPr>
        <w:numPr>
          <w:ilvl w:val="0"/>
          <w:numId w:val="8"/>
        </w:numPr>
        <w:tabs>
          <w:tab w:val="num" w:pos="720"/>
        </w:tabs>
      </w:pPr>
      <w:r w:rsidRPr="00237B3B">
        <w:t>Budget: $</w:t>
      </w:r>
      <w:r w:rsidR="002058CE">
        <w:t>232,856</w:t>
      </w:r>
      <w:r w:rsidRPr="00237B3B">
        <w:t xml:space="preserve"> ($</w:t>
      </w:r>
      <w:r w:rsidR="00543492">
        <w:t>226,128</w:t>
      </w:r>
      <w:r w:rsidRPr="00237B3B">
        <w:t xml:space="preserve"> in Rental Assistance; $6,728 in Supportive Services)</w:t>
      </w:r>
    </w:p>
    <w:p w14:paraId="787062EF" w14:textId="77777777" w:rsidR="007F6886" w:rsidRDefault="007F6886" w:rsidP="007F6886">
      <w:pPr>
        <w:numPr>
          <w:ilvl w:val="0"/>
          <w:numId w:val="8"/>
        </w:numPr>
        <w:tabs>
          <w:tab w:val="num" w:pos="720"/>
        </w:tabs>
      </w:pPr>
      <w:r w:rsidRPr="00237B3B">
        <w:t xml:space="preserve">Units: 14 units </w:t>
      </w:r>
    </w:p>
    <w:p w14:paraId="4AE50CF9" w14:textId="7CEC18B4" w:rsidR="001338A5" w:rsidRPr="00237B3B" w:rsidRDefault="001338A5" w:rsidP="007F6886">
      <w:pPr>
        <w:numPr>
          <w:ilvl w:val="0"/>
          <w:numId w:val="8"/>
        </w:numPr>
        <w:tabs>
          <w:tab w:val="num" w:pos="720"/>
        </w:tabs>
      </w:pPr>
      <w:r>
        <w:t>Match Required: $</w:t>
      </w:r>
      <w:r w:rsidR="00393E72">
        <w:t>5</w:t>
      </w:r>
      <w:r w:rsidR="00B07725">
        <w:t>8,214</w:t>
      </w:r>
    </w:p>
    <w:p w14:paraId="0A906D94" w14:textId="3070DAFF" w:rsidR="007F6886" w:rsidRPr="00237B3B" w:rsidRDefault="007F6886" w:rsidP="007F6886">
      <w:pPr>
        <w:numPr>
          <w:ilvl w:val="0"/>
          <w:numId w:val="8"/>
        </w:numPr>
        <w:tabs>
          <w:tab w:val="num" w:pos="720"/>
        </w:tabs>
      </w:pPr>
      <w:r w:rsidRPr="00237B3B">
        <w:t>Grant operating year: 09/01/</w:t>
      </w:r>
      <w:r w:rsidR="00B07725" w:rsidRPr="00237B3B">
        <w:t>202</w:t>
      </w:r>
      <w:r w:rsidR="00B07725">
        <w:t>4</w:t>
      </w:r>
      <w:r w:rsidR="00B07725" w:rsidRPr="00237B3B">
        <w:t xml:space="preserve"> </w:t>
      </w:r>
      <w:r w:rsidRPr="00237B3B">
        <w:t>– 08/31/</w:t>
      </w:r>
      <w:r w:rsidR="00B07725" w:rsidRPr="00237B3B">
        <w:t>202</w:t>
      </w:r>
      <w:r w:rsidR="00B07725">
        <w:t>5</w:t>
      </w:r>
    </w:p>
    <w:bookmarkEnd w:id="0"/>
    <w:p w14:paraId="0312E892" w14:textId="77777777" w:rsidR="00E2750F" w:rsidRPr="00162749" w:rsidRDefault="00E2750F" w:rsidP="00F040F1">
      <w:pPr>
        <w:rPr>
          <w:b/>
        </w:rPr>
      </w:pPr>
    </w:p>
    <w:p w14:paraId="35F8BB39" w14:textId="1D25FD85" w:rsidR="00D9454A" w:rsidRPr="009A02C4" w:rsidRDefault="00BC68DF" w:rsidP="00F040F1">
      <w:pPr>
        <w:rPr>
          <w:b/>
        </w:rPr>
      </w:pPr>
      <w:r w:rsidRPr="009A02C4">
        <w:rPr>
          <w:b/>
        </w:rPr>
        <w:t>Description of Grants</w:t>
      </w:r>
    </w:p>
    <w:p w14:paraId="2FE5BA52" w14:textId="0C88F56F" w:rsidR="00670376" w:rsidRDefault="00600935" w:rsidP="00670376">
      <w:r w:rsidRPr="00B80CE4">
        <w:rPr>
          <w:b/>
          <w:bCs/>
        </w:rPr>
        <w:t>Community Link’s Permanent Supportive Housing grant, Northern PSH Combo</w:t>
      </w:r>
      <w:r w:rsidR="00B80CE4">
        <w:rPr>
          <w:b/>
          <w:bCs/>
        </w:rPr>
        <w:t>,</w:t>
      </w:r>
      <w:r w:rsidR="00670376" w:rsidRPr="00670376">
        <w:t xml:space="preserve"> </w:t>
      </w:r>
      <w:r w:rsidR="00670376">
        <w:t>provides</w:t>
      </w:r>
      <w:r w:rsidR="00670376" w:rsidRPr="009A02C4">
        <w:t xml:space="preserve"> tenant-based rental assistance to individuals and families experiencing </w:t>
      </w:r>
      <w:hyperlink r:id="rId8" w:history="1">
        <w:r w:rsidR="00670376" w:rsidRPr="00295E62">
          <w:rPr>
            <w:rStyle w:val="Hyperlink"/>
          </w:rPr>
          <w:t>chronic homelessness</w:t>
        </w:r>
      </w:hyperlink>
      <w:r w:rsidR="00670376" w:rsidRPr="009A02C4">
        <w:t xml:space="preserve"> </w:t>
      </w:r>
      <w:r w:rsidR="005159EA">
        <w:t>and referred through coordinated entry</w:t>
      </w:r>
      <w:r w:rsidR="00276889">
        <w:t xml:space="preserve">. </w:t>
      </w:r>
      <w:r w:rsidR="00670376">
        <w:t>Th</w:t>
      </w:r>
      <w:r w:rsidR="00276889">
        <w:t xml:space="preserve">is </w:t>
      </w:r>
      <w:r w:rsidR="00670376">
        <w:t xml:space="preserve">grant is projected to serve 119 households. </w:t>
      </w:r>
      <w:r w:rsidR="00670376" w:rsidRPr="009A02C4">
        <w:t>In the most recently completed grant term</w:t>
      </w:r>
      <w:r w:rsidR="003106FE">
        <w:t xml:space="preserve"> (June 1, 2022 – May 31, 202</w:t>
      </w:r>
      <w:r w:rsidR="00480405">
        <w:t>3</w:t>
      </w:r>
      <w:r w:rsidR="003106FE">
        <w:t>)</w:t>
      </w:r>
      <w:r w:rsidR="00670376" w:rsidRPr="009A02C4">
        <w:t>, the grant achieved an 84% spending rate. Grantees are expected to spend at least 90% of the total budget.</w:t>
      </w:r>
    </w:p>
    <w:p w14:paraId="5AE8A4ED" w14:textId="77777777" w:rsidR="00600935" w:rsidRDefault="00600935" w:rsidP="005E29CA"/>
    <w:p w14:paraId="0DADD59E" w14:textId="25C1E0CE" w:rsidR="005E29CA" w:rsidRDefault="005E29CA" w:rsidP="005E29CA">
      <w:proofErr w:type="spellStart"/>
      <w:r w:rsidRPr="00B80CE4">
        <w:rPr>
          <w:b/>
          <w:bCs/>
        </w:rPr>
        <w:t>Thrive’s</w:t>
      </w:r>
      <w:proofErr w:type="spellEnd"/>
      <w:r>
        <w:t xml:space="preserve"> </w:t>
      </w:r>
      <w:r w:rsidRPr="005E29CA">
        <w:rPr>
          <w:b/>
          <w:bCs/>
        </w:rPr>
        <w:t>Permanent Supportive Housing grant,</w:t>
      </w:r>
      <w:r>
        <w:t xml:space="preserve"> </w:t>
      </w:r>
      <w:r>
        <w:rPr>
          <w:b/>
          <w:bCs/>
        </w:rPr>
        <w:t>Pathways to Permanently Hous</w:t>
      </w:r>
      <w:r w:rsidR="00B07725">
        <w:rPr>
          <w:b/>
          <w:bCs/>
        </w:rPr>
        <w:t xml:space="preserve">ed </w:t>
      </w:r>
      <w:r>
        <w:rPr>
          <w:b/>
          <w:bCs/>
        </w:rPr>
        <w:t>Consolidated</w:t>
      </w:r>
      <w:r w:rsidR="00552307">
        <w:rPr>
          <w:b/>
          <w:bCs/>
        </w:rPr>
        <w:t>,</w:t>
      </w:r>
      <w:r>
        <w:t xml:space="preserve"> </w:t>
      </w:r>
      <w:r w:rsidR="00552307">
        <w:t>provides</w:t>
      </w:r>
      <w:r w:rsidR="00552307" w:rsidRPr="009A02C4">
        <w:t xml:space="preserve"> tenant-based rental assistance to individuals and families experiencing </w:t>
      </w:r>
      <w:hyperlink r:id="rId9" w:history="1">
        <w:r w:rsidR="00552307" w:rsidRPr="00454E1D">
          <w:rPr>
            <w:rStyle w:val="Hyperlink"/>
          </w:rPr>
          <w:t>chronic homelessness</w:t>
        </w:r>
      </w:hyperlink>
      <w:r w:rsidR="00552307" w:rsidRPr="009A02C4">
        <w:t xml:space="preserve"> </w:t>
      </w:r>
      <w:r w:rsidR="005159EA">
        <w:t>and</w:t>
      </w:r>
      <w:r w:rsidR="00552307" w:rsidRPr="009A02C4">
        <w:t xml:space="preserve"> referred </w:t>
      </w:r>
      <w:r w:rsidR="00552307">
        <w:t xml:space="preserve">through </w:t>
      </w:r>
      <w:r w:rsidR="009B1E93">
        <w:t>c</w:t>
      </w:r>
      <w:r w:rsidR="00552307">
        <w:t xml:space="preserve">oordinated </w:t>
      </w:r>
      <w:r w:rsidR="009B1E93">
        <w:t>e</w:t>
      </w:r>
      <w:r w:rsidR="00552307">
        <w:t xml:space="preserve">ntry. This grant </w:t>
      </w:r>
      <w:r>
        <w:t xml:space="preserve">is projected to serve 22 households. </w:t>
      </w:r>
      <w:r w:rsidRPr="009A02C4">
        <w:t>In the most recently completed grant term</w:t>
      </w:r>
      <w:r>
        <w:t xml:space="preserve"> (August 1, 2022 – July 31, 2023)</w:t>
      </w:r>
      <w:r w:rsidRPr="009A02C4">
        <w:t>, the grant achieved a</w:t>
      </w:r>
      <w:r>
        <w:t xml:space="preserve"> 100</w:t>
      </w:r>
      <w:r w:rsidRPr="009A02C4">
        <w:t>% spending rate. Grantees are expected to spend at least 90% of the total budget.</w:t>
      </w:r>
    </w:p>
    <w:p w14:paraId="092FCF7C" w14:textId="77777777" w:rsidR="00FA50E2" w:rsidRPr="00FA3584" w:rsidRDefault="00FA50E2" w:rsidP="00FA50E2">
      <w:pPr>
        <w:rPr>
          <w:sz w:val="16"/>
          <w:szCs w:val="16"/>
        </w:rPr>
      </w:pPr>
    </w:p>
    <w:p w14:paraId="372BF854" w14:textId="301902AA" w:rsidR="008A5BFA" w:rsidRDefault="00FA50E2" w:rsidP="005C2166">
      <w:proofErr w:type="spellStart"/>
      <w:r w:rsidRPr="00B80CE4">
        <w:rPr>
          <w:b/>
          <w:bCs/>
        </w:rPr>
        <w:lastRenderedPageBreak/>
        <w:t>Thrive’s</w:t>
      </w:r>
      <w:proofErr w:type="spellEnd"/>
      <w:r w:rsidRPr="00B80CE4">
        <w:rPr>
          <w:b/>
          <w:bCs/>
        </w:rPr>
        <w:t xml:space="preserve"> </w:t>
      </w:r>
      <w:r w:rsidRPr="00FA50E2">
        <w:rPr>
          <w:b/>
          <w:bCs/>
        </w:rPr>
        <w:t>Rapid Rehousing grant</w:t>
      </w:r>
      <w:r w:rsidR="00452662">
        <w:rPr>
          <w:b/>
          <w:bCs/>
        </w:rPr>
        <w:t xml:space="preserve">, </w:t>
      </w:r>
      <w:r>
        <w:rPr>
          <w:b/>
          <w:bCs/>
        </w:rPr>
        <w:t>Thrive Rapid Rehousing</w:t>
      </w:r>
      <w:r w:rsidR="00452662">
        <w:rPr>
          <w:b/>
          <w:bCs/>
        </w:rPr>
        <w:t>,</w:t>
      </w:r>
      <w:r>
        <w:t xml:space="preserve"> </w:t>
      </w:r>
      <w:r w:rsidR="00452662">
        <w:t xml:space="preserve">provides tenant-based rental assistance to individuals and families experiencing </w:t>
      </w:r>
      <w:hyperlink r:id="rId10" w:anchor=":~:text=the%20Homeless%20Definition-,Category%201%3A%20Literally%20Homeless,At%20Risk%20of%20Homelessness" w:history="1">
        <w:r w:rsidR="00452662" w:rsidRPr="00325165">
          <w:rPr>
            <w:rStyle w:val="Hyperlink"/>
          </w:rPr>
          <w:t>Category 1 of HUD’s Homeless Definition</w:t>
        </w:r>
      </w:hyperlink>
      <w:r w:rsidR="00452662">
        <w:t xml:space="preserve">, meaning they were experiencing literal homelessness </w:t>
      </w:r>
      <w:r w:rsidR="00480405">
        <w:t>and</w:t>
      </w:r>
      <w:r w:rsidR="00452662">
        <w:t xml:space="preserve"> referred through </w:t>
      </w:r>
      <w:r w:rsidR="009B1E93">
        <w:t>c</w:t>
      </w:r>
      <w:r w:rsidR="00452662">
        <w:t xml:space="preserve">oordinated </w:t>
      </w:r>
      <w:r w:rsidR="009B1E93">
        <w:t>e</w:t>
      </w:r>
      <w:r w:rsidR="00452662">
        <w:t xml:space="preserve">ntry. This </w:t>
      </w:r>
      <w:r>
        <w:t xml:space="preserve">grant is projected to serve 14 households. </w:t>
      </w:r>
      <w:r w:rsidRPr="009A02C4">
        <w:t>In the most recently completed grant term,</w:t>
      </w:r>
      <w:r>
        <w:t xml:space="preserve"> which was its first year in operation (September 1, 2022 – August 31, 2023)</w:t>
      </w:r>
      <w:r w:rsidRPr="009A02C4">
        <w:t xml:space="preserve"> the grant achieved a </w:t>
      </w:r>
      <w:r>
        <w:t>36</w:t>
      </w:r>
      <w:r w:rsidRPr="009A02C4">
        <w:t>% spending rate. Grantees are</w:t>
      </w:r>
      <w:r>
        <w:t xml:space="preserve"> expected to spend at least 90% of the total budget after their first operating year</w:t>
      </w:r>
      <w:r w:rsidR="00F61E6B">
        <w:t>.</w:t>
      </w:r>
    </w:p>
    <w:p w14:paraId="3AA0C71A" w14:textId="77777777" w:rsidR="008A5BFA" w:rsidRPr="008A5BFA" w:rsidRDefault="008A5BFA" w:rsidP="005C2166"/>
    <w:p w14:paraId="23B98F20" w14:textId="23652532" w:rsidR="00BC68DF" w:rsidRPr="00BC68DF" w:rsidRDefault="00BC68DF" w:rsidP="005C2166">
      <w:pPr>
        <w:rPr>
          <w:b/>
        </w:rPr>
      </w:pPr>
      <w:r w:rsidRPr="00BC68DF">
        <w:rPr>
          <w:b/>
        </w:rPr>
        <w:t>Eligibility &amp; Requirements for Grantee Agencies</w:t>
      </w:r>
    </w:p>
    <w:p w14:paraId="193F4D0D" w14:textId="0ECEC161" w:rsidR="00D9454A" w:rsidRDefault="00D9454A" w:rsidP="00F040F1">
      <w:r>
        <w:t xml:space="preserve">Nonprofit organizations, </w:t>
      </w:r>
      <w:r w:rsidR="004C051B">
        <w:t>P</w:t>
      </w:r>
      <w:r>
        <w:t xml:space="preserve">ublic </w:t>
      </w:r>
      <w:r w:rsidR="004C051B">
        <w:t>H</w:t>
      </w:r>
      <w:r>
        <w:t xml:space="preserve">ousing </w:t>
      </w:r>
      <w:r w:rsidR="004C051B">
        <w:t>A</w:t>
      </w:r>
      <w:r>
        <w:t>uthorities, and units of local governm</w:t>
      </w:r>
      <w:r w:rsidR="00D15925">
        <w:t>ent are eligible to</w:t>
      </w:r>
      <w:r>
        <w:t xml:space="preserve"> apply. If selected, the agency</w:t>
      </w:r>
      <w:r w:rsidR="00174FA1">
        <w:t>(</w:t>
      </w:r>
      <w:proofErr w:type="spellStart"/>
      <w:r w:rsidR="00174FA1">
        <w:t>ies</w:t>
      </w:r>
      <w:proofErr w:type="spellEnd"/>
      <w:r w:rsidR="00174FA1">
        <w:t>)</w:t>
      </w:r>
      <w:r>
        <w:t xml:space="preserve"> will sign a grant transfer agreement with the US Department of Housing and Urban Development (HUD) for the relevant grant operating </w:t>
      </w:r>
      <w:r w:rsidRPr="009A02C4">
        <w:t xml:space="preserve">year </w:t>
      </w:r>
      <w:r w:rsidR="00DE7A9D" w:rsidRPr="009A02C4">
        <w:t>at the time of transfer</w:t>
      </w:r>
      <w:r>
        <w:t>.</w:t>
      </w:r>
    </w:p>
    <w:p w14:paraId="7FBEA90E" w14:textId="77777777" w:rsidR="00BC68DF" w:rsidRPr="008A5BFA" w:rsidRDefault="00BC68DF" w:rsidP="00F040F1">
      <w:pPr>
        <w:rPr>
          <w:sz w:val="10"/>
          <w:szCs w:val="10"/>
        </w:rPr>
      </w:pPr>
    </w:p>
    <w:p w14:paraId="250108F1" w14:textId="77777777" w:rsidR="00780D04" w:rsidRDefault="00BC68DF" w:rsidP="00BC68DF">
      <w:r>
        <w:t>A 25% match is required on all grants. Match may be cash, in-kind, or a combination.</w:t>
      </w:r>
      <w:r w:rsidR="00287FA9">
        <w:t xml:space="preserve"> </w:t>
      </w:r>
    </w:p>
    <w:p w14:paraId="550E452B" w14:textId="4995C9FF" w:rsidR="00A03965" w:rsidRDefault="00780D04" w:rsidP="00780D04">
      <w:pPr>
        <w:pStyle w:val="ListParagraph"/>
        <w:numPr>
          <w:ilvl w:val="0"/>
          <w:numId w:val="11"/>
        </w:numPr>
      </w:pPr>
      <w:r>
        <w:t>Community Link’s Northern PSH Combo grant match amount require</w:t>
      </w:r>
      <w:r w:rsidR="00056082">
        <w:t>ment</w:t>
      </w:r>
      <w:r>
        <w:t xml:space="preserve"> is </w:t>
      </w:r>
      <w:proofErr w:type="gramStart"/>
      <w:r>
        <w:t>$</w:t>
      </w:r>
      <w:r w:rsidR="00A03965">
        <w:t>363,422</w:t>
      </w:r>
      <w:proofErr w:type="gramEnd"/>
    </w:p>
    <w:p w14:paraId="2C1F33A8" w14:textId="0BF5373B" w:rsidR="00A41208" w:rsidRDefault="00A41208" w:rsidP="00780D04">
      <w:pPr>
        <w:pStyle w:val="ListParagraph"/>
        <w:numPr>
          <w:ilvl w:val="0"/>
          <w:numId w:val="11"/>
        </w:numPr>
      </w:pPr>
      <w:proofErr w:type="spellStart"/>
      <w:r>
        <w:t>Thrive’s</w:t>
      </w:r>
      <w:proofErr w:type="spellEnd"/>
      <w:r>
        <w:t xml:space="preserve"> </w:t>
      </w:r>
      <w:r w:rsidR="004C1406">
        <w:t>Pathways to Permanently Hous</w:t>
      </w:r>
      <w:r w:rsidR="00B07725">
        <w:t>ed</w:t>
      </w:r>
      <w:r w:rsidR="004C1406">
        <w:t xml:space="preserve"> Consolidated</w:t>
      </w:r>
      <w:r>
        <w:t xml:space="preserve"> grant</w:t>
      </w:r>
      <w:r w:rsidR="00287FA9">
        <w:t xml:space="preserve"> match amount require</w:t>
      </w:r>
      <w:r w:rsidR="00056082">
        <w:t>ment</w:t>
      </w:r>
      <w:r w:rsidR="00287FA9">
        <w:t xml:space="preserve"> is </w:t>
      </w:r>
      <w:r w:rsidR="00342CC5" w:rsidRPr="00780D04">
        <w:rPr>
          <w:rFonts w:ascii="Calibri" w:eastAsia="Calibri" w:hAnsi="Calibri" w:cs="Calibri"/>
          <w:color w:val="0B1107" w:themeColor="accent6" w:themeShade="1A"/>
          <w:kern w:val="24"/>
        </w:rPr>
        <w:t>$</w:t>
      </w:r>
      <w:r w:rsidR="008D1C6C">
        <w:rPr>
          <w:rFonts w:ascii="Calibri" w:eastAsia="Calibri" w:hAnsi="Calibri" w:cs="Calibri"/>
          <w:color w:val="0B1107" w:themeColor="accent6" w:themeShade="1A"/>
          <w:kern w:val="24"/>
        </w:rPr>
        <w:t>102,508</w:t>
      </w:r>
      <w:r w:rsidR="00287FA9">
        <w:t xml:space="preserve">. </w:t>
      </w:r>
    </w:p>
    <w:p w14:paraId="52D0397E" w14:textId="78B22C13" w:rsidR="00BC68DF" w:rsidRDefault="00342CC5" w:rsidP="00780D04">
      <w:pPr>
        <w:pStyle w:val="ListParagraph"/>
        <w:numPr>
          <w:ilvl w:val="0"/>
          <w:numId w:val="11"/>
        </w:numPr>
      </w:pPr>
      <w:r>
        <w:t>Thrive Rapid Rehousing</w:t>
      </w:r>
      <w:r w:rsidR="00A41208">
        <w:t xml:space="preserve"> grant</w:t>
      </w:r>
      <w:r w:rsidR="00287FA9">
        <w:t xml:space="preserve"> match amount require</w:t>
      </w:r>
      <w:r w:rsidR="00056082">
        <w:t>ment</w:t>
      </w:r>
      <w:r w:rsidR="00287FA9">
        <w:t xml:space="preserve"> is $</w:t>
      </w:r>
      <w:r>
        <w:t>5</w:t>
      </w:r>
      <w:r w:rsidR="00056082">
        <w:t>8,214</w:t>
      </w:r>
      <w:r w:rsidR="00287FA9">
        <w:t>.</w:t>
      </w:r>
    </w:p>
    <w:p w14:paraId="506877FE" w14:textId="77777777" w:rsidR="00BC68DF" w:rsidRPr="008A5BFA" w:rsidRDefault="00BC68DF" w:rsidP="00F040F1">
      <w:pPr>
        <w:rPr>
          <w:sz w:val="10"/>
          <w:szCs w:val="10"/>
        </w:rPr>
      </w:pPr>
    </w:p>
    <w:p w14:paraId="6A210A56" w14:textId="77551018" w:rsidR="009E693D" w:rsidRDefault="009E693D" w:rsidP="00F040F1">
      <w:r>
        <w:t xml:space="preserve">These grants are renewable on an annual basis through the HUD CoC </w:t>
      </w:r>
      <w:r w:rsidR="00342CC5">
        <w:t xml:space="preserve">Program </w:t>
      </w:r>
      <w:r>
        <w:t xml:space="preserve">competition. Please refer to </w:t>
      </w:r>
      <w:hyperlink r:id="rId11" w:history="1">
        <w:r w:rsidRPr="004101D7">
          <w:rPr>
            <w:rStyle w:val="Hyperlink"/>
          </w:rPr>
          <w:t>www.ncceh.org/bos/currentcocapplication/</w:t>
        </w:r>
      </w:hyperlink>
      <w:r>
        <w:t xml:space="preserve"> to view the </w:t>
      </w:r>
      <w:r w:rsidR="005F2DBB">
        <w:t xml:space="preserve">renewal </w:t>
      </w:r>
      <w:r>
        <w:t xml:space="preserve">scorecards </w:t>
      </w:r>
      <w:r w:rsidR="00342CC5">
        <w:t>for the FY2024</w:t>
      </w:r>
      <w:r w:rsidR="00287FA9">
        <w:t xml:space="preserve"> </w:t>
      </w:r>
      <w:r>
        <w:t>CoC</w:t>
      </w:r>
      <w:r w:rsidR="005D7491">
        <w:t xml:space="preserve"> </w:t>
      </w:r>
      <w:r w:rsidR="00342CC5">
        <w:t xml:space="preserve">Program </w:t>
      </w:r>
      <w:r>
        <w:t>competition. Any agency that receives a transferred grant will be expected to meet all thresholds, standards, and expectations on the scorecard.</w:t>
      </w:r>
    </w:p>
    <w:p w14:paraId="6292A9B0" w14:textId="77777777" w:rsidR="00DE7A9D" w:rsidRPr="008A5BFA" w:rsidRDefault="00DE7A9D">
      <w:pPr>
        <w:rPr>
          <w:color w:val="FF0000"/>
          <w:sz w:val="10"/>
          <w:szCs w:val="10"/>
        </w:rPr>
      </w:pPr>
    </w:p>
    <w:p w14:paraId="72F3AD39" w14:textId="009B2429" w:rsidR="00721360" w:rsidRPr="00E04F4C" w:rsidRDefault="00892E59" w:rsidP="00B73C36">
      <w:pPr>
        <w:jc w:val="center"/>
        <w:rPr>
          <w:b/>
          <w:sz w:val="24"/>
          <w:u w:val="single"/>
        </w:rPr>
      </w:pPr>
      <w:r w:rsidRPr="00E04F4C">
        <w:rPr>
          <w:b/>
          <w:sz w:val="24"/>
          <w:u w:val="single"/>
        </w:rPr>
        <w:t>Instructions for Submitting a Proposal</w:t>
      </w:r>
    </w:p>
    <w:p w14:paraId="5F72C10C" w14:textId="3A91FCE5" w:rsidR="00190048" w:rsidRPr="00892E59" w:rsidRDefault="00B04E4E">
      <w:r w:rsidRPr="00892E59">
        <w:t xml:space="preserve">Applicant agencies must submit the relevant materials listed below. </w:t>
      </w:r>
      <w:r w:rsidR="00190048" w:rsidRPr="00892E59">
        <w:t xml:space="preserve">All </w:t>
      </w:r>
      <w:r w:rsidRPr="00892E59">
        <w:t>materials</w:t>
      </w:r>
      <w:r w:rsidR="00190048" w:rsidRPr="00892E59">
        <w:t xml:space="preserve"> must be submitted</w:t>
      </w:r>
      <w:r w:rsidR="00DE7A9D">
        <w:t xml:space="preserve"> via this Smartsheet</w:t>
      </w:r>
      <w:r w:rsidR="00DE7A9D" w:rsidRPr="00892E59">
        <w:t xml:space="preserve"> </w:t>
      </w:r>
      <w:r w:rsidR="00DE7A9D">
        <w:t>link</w:t>
      </w:r>
      <w:r w:rsidR="00197434">
        <w:t xml:space="preserve">: </w:t>
      </w:r>
      <w:hyperlink r:id="rId12" w:history="1">
        <w:r w:rsidR="00101BEF" w:rsidRPr="00101BEF">
          <w:rPr>
            <w:rStyle w:val="Hyperlink"/>
          </w:rPr>
          <w:t>https://app.smartsheet.com/b/form/7c1b3125cb414ca1be08d83f994eee17</w:t>
        </w:r>
      </w:hyperlink>
    </w:p>
    <w:p w14:paraId="5064CCB7" w14:textId="77777777" w:rsidR="00190048" w:rsidRPr="008A5BFA" w:rsidRDefault="00190048">
      <w:pPr>
        <w:rPr>
          <w:sz w:val="10"/>
          <w:szCs w:val="10"/>
        </w:rPr>
      </w:pPr>
    </w:p>
    <w:p w14:paraId="3DD84431" w14:textId="0FE0BBFC" w:rsidR="00F040F1" w:rsidRDefault="005C19C5">
      <w:pPr>
        <w:rPr>
          <w:b/>
        </w:rPr>
      </w:pPr>
      <w:r>
        <w:rPr>
          <w:b/>
        </w:rPr>
        <w:t xml:space="preserve">Letter of </w:t>
      </w:r>
      <w:r w:rsidRPr="009A02C4">
        <w:rPr>
          <w:b/>
        </w:rPr>
        <w:t>Intent</w:t>
      </w:r>
      <w:r w:rsidR="004F0325" w:rsidRPr="009A02C4">
        <w:rPr>
          <w:b/>
        </w:rPr>
        <w:t xml:space="preserve"> Form</w:t>
      </w:r>
      <w:r>
        <w:rPr>
          <w:b/>
        </w:rPr>
        <w:t xml:space="preserve">: Due </w:t>
      </w:r>
      <w:r w:rsidR="00012FEB">
        <w:rPr>
          <w:b/>
        </w:rPr>
        <w:t xml:space="preserve">by 12 PM on </w:t>
      </w:r>
      <w:r w:rsidR="0001443A">
        <w:rPr>
          <w:b/>
        </w:rPr>
        <w:t>Mon</w:t>
      </w:r>
      <w:r w:rsidR="005F2DBB">
        <w:rPr>
          <w:b/>
        </w:rPr>
        <w:t>day,</w:t>
      </w:r>
      <w:r w:rsidR="0001443A">
        <w:rPr>
          <w:b/>
        </w:rPr>
        <w:t xml:space="preserve"> June 3</w:t>
      </w:r>
      <w:r w:rsidR="001811E9">
        <w:rPr>
          <w:b/>
        </w:rPr>
        <w:t>, 2024</w:t>
      </w:r>
      <w:r w:rsidR="00012FEB">
        <w:rPr>
          <w:b/>
        </w:rPr>
        <w:t xml:space="preserve">. </w:t>
      </w:r>
    </w:p>
    <w:p w14:paraId="0FBFAFA0" w14:textId="06C8E1B1" w:rsidR="00F040F1" w:rsidRDefault="00171688">
      <w:pPr>
        <w:rPr>
          <w:rStyle w:val="Hyperlink"/>
        </w:rPr>
      </w:pPr>
      <w:r w:rsidRPr="00165D10">
        <w:rPr>
          <w:u w:val="single"/>
        </w:rPr>
        <w:t>All applicants</w:t>
      </w:r>
      <w:r w:rsidR="005C19C5">
        <w:t xml:space="preserve"> must submit</w:t>
      </w:r>
      <w:r w:rsidR="008D4445">
        <w:t xml:space="preserve"> a</w:t>
      </w:r>
      <w:r w:rsidR="00F040F1">
        <w:t xml:space="preserve"> </w:t>
      </w:r>
      <w:r w:rsidR="00025F28" w:rsidRPr="009A02C4">
        <w:t xml:space="preserve">completed </w:t>
      </w:r>
      <w:r w:rsidR="008D4445" w:rsidRPr="009A02C4">
        <w:t>L</w:t>
      </w:r>
      <w:r w:rsidR="00F040F1" w:rsidRPr="009A02C4">
        <w:t>et</w:t>
      </w:r>
      <w:r w:rsidR="008D4445" w:rsidRPr="009A02C4">
        <w:t>ter of I</w:t>
      </w:r>
      <w:r w:rsidR="00E2750F" w:rsidRPr="009A02C4">
        <w:t>ntent</w:t>
      </w:r>
      <w:r w:rsidR="00025F28" w:rsidRPr="009A02C4">
        <w:t xml:space="preserve"> Form</w:t>
      </w:r>
      <w:r w:rsidR="00847DCA">
        <w:t xml:space="preserve"> found under the Continuum of Care (CoC) Program Funds</w:t>
      </w:r>
      <w:r w:rsidR="005C000A">
        <w:t xml:space="preserve"> heading on this page</w:t>
      </w:r>
      <w:r w:rsidR="00E2750F">
        <w:t>:</w:t>
      </w:r>
      <w:r w:rsidR="000825F4">
        <w:t xml:space="preserve"> </w:t>
      </w:r>
      <w:hyperlink r:id="rId13" w:history="1">
        <w:r w:rsidR="00670639" w:rsidRPr="00670639">
          <w:rPr>
            <w:rStyle w:val="Hyperlink"/>
          </w:rPr>
          <w:t>https://www.ncceh.org/bos/prospectivegrantees/</w:t>
        </w:r>
      </w:hyperlink>
    </w:p>
    <w:p w14:paraId="1A700605" w14:textId="77777777" w:rsidR="00012FEB" w:rsidRPr="008A5BFA" w:rsidRDefault="00012FEB">
      <w:pPr>
        <w:rPr>
          <w:sz w:val="10"/>
          <w:szCs w:val="10"/>
        </w:rPr>
      </w:pPr>
    </w:p>
    <w:p w14:paraId="47C14FE3" w14:textId="41067E26" w:rsidR="00F040F1" w:rsidRDefault="00F040F1">
      <w:pPr>
        <w:rPr>
          <w:b/>
        </w:rPr>
      </w:pPr>
      <w:r w:rsidRPr="00F040F1">
        <w:rPr>
          <w:b/>
        </w:rPr>
        <w:t xml:space="preserve">Additional Documents: </w:t>
      </w:r>
      <w:r w:rsidR="00892E59">
        <w:rPr>
          <w:b/>
        </w:rPr>
        <w:t xml:space="preserve">Due </w:t>
      </w:r>
      <w:r w:rsidR="00012FEB">
        <w:rPr>
          <w:b/>
        </w:rPr>
        <w:t xml:space="preserve">by </w:t>
      </w:r>
      <w:r w:rsidR="007F2F3D">
        <w:rPr>
          <w:b/>
        </w:rPr>
        <w:t>12</w:t>
      </w:r>
      <w:r w:rsidR="00012FEB">
        <w:rPr>
          <w:b/>
        </w:rPr>
        <w:t xml:space="preserve"> PM on </w:t>
      </w:r>
      <w:r w:rsidR="0001443A">
        <w:rPr>
          <w:b/>
        </w:rPr>
        <w:t>Mon</w:t>
      </w:r>
      <w:r w:rsidR="001811E9">
        <w:rPr>
          <w:b/>
        </w:rPr>
        <w:t xml:space="preserve">day, </w:t>
      </w:r>
      <w:r w:rsidR="00414486">
        <w:rPr>
          <w:b/>
        </w:rPr>
        <w:t>June 3</w:t>
      </w:r>
      <w:r w:rsidR="001811E9">
        <w:rPr>
          <w:b/>
        </w:rPr>
        <w:t>, 2024</w:t>
      </w:r>
      <w:r w:rsidR="00012FEB">
        <w:rPr>
          <w:b/>
        </w:rPr>
        <w:t>.</w:t>
      </w:r>
    </w:p>
    <w:p w14:paraId="53903EA8" w14:textId="6912EA16" w:rsidR="006F6568" w:rsidRDefault="006F6568" w:rsidP="006F6568">
      <w:r>
        <w:t xml:space="preserve">Applicants that </w:t>
      </w:r>
      <w:r w:rsidRPr="006F6568">
        <w:rPr>
          <w:u w:val="single"/>
        </w:rPr>
        <w:t>do not have an existing CoC</w:t>
      </w:r>
      <w:r w:rsidR="00A308FE">
        <w:rPr>
          <w:u w:val="single"/>
        </w:rPr>
        <w:t xml:space="preserve"> Program-</w:t>
      </w:r>
      <w:r w:rsidRPr="006F6568">
        <w:rPr>
          <w:u w:val="single"/>
        </w:rPr>
        <w:t>funded grant</w:t>
      </w:r>
      <w:r w:rsidR="00A308FE">
        <w:rPr>
          <w:u w:val="single"/>
        </w:rPr>
        <w:t xml:space="preserve"> for the project type</w:t>
      </w:r>
      <w:r w:rsidR="00831E87">
        <w:rPr>
          <w:u w:val="single"/>
        </w:rPr>
        <w:t xml:space="preserve"> applied for (Permanent Supportive Housing and/or Rapid Rehousing)</w:t>
      </w:r>
      <w:r>
        <w:t xml:space="preserve"> must submit the following items:</w:t>
      </w:r>
    </w:p>
    <w:p w14:paraId="74D01A16" w14:textId="69DF0E6A" w:rsidR="00171688" w:rsidRDefault="00E154BD" w:rsidP="00171688">
      <w:pPr>
        <w:pStyle w:val="ListParagraph"/>
        <w:numPr>
          <w:ilvl w:val="0"/>
          <w:numId w:val="5"/>
        </w:numPr>
      </w:pPr>
      <w:r>
        <w:t>A completed</w:t>
      </w:r>
      <w:r w:rsidR="00171688">
        <w:t xml:space="preserve"> Written P</w:t>
      </w:r>
      <w:r w:rsidR="000825F4">
        <w:t>roposal</w:t>
      </w:r>
      <w:r w:rsidR="007F2F3D">
        <w:t xml:space="preserve"> Form</w:t>
      </w:r>
      <w:r w:rsidR="005C000A">
        <w:t xml:space="preserve"> under the Continuum of Care (CoC) Program Funds heading on this page: </w:t>
      </w:r>
      <w:hyperlink r:id="rId14" w:history="1">
        <w:r w:rsidR="004B1E39" w:rsidRPr="00484CA5">
          <w:rPr>
            <w:rStyle w:val="Hyperlink"/>
          </w:rPr>
          <w:t xml:space="preserve">https://www.ncceh.org/bos/prospectivegrantees/                                                                 </w:t>
        </w:r>
      </w:hyperlink>
      <w:r w:rsidR="005C000A">
        <w:t xml:space="preserve"> </w:t>
      </w:r>
      <w:r w:rsidR="00171688">
        <w:t xml:space="preserve">The Written Proposal </w:t>
      </w:r>
      <w:r w:rsidR="007F2F3D">
        <w:t xml:space="preserve">Form </w:t>
      </w:r>
      <w:r w:rsidR="00E2750F">
        <w:t>asks questions regarding</w:t>
      </w:r>
      <w:r w:rsidR="00171688">
        <w:t xml:space="preserve"> the following:</w:t>
      </w:r>
    </w:p>
    <w:p w14:paraId="0E83A1B4" w14:textId="1D4465BD" w:rsidR="006327D5" w:rsidRDefault="00E2750F" w:rsidP="00E2750F">
      <w:pPr>
        <w:pStyle w:val="ListParagraph"/>
        <w:numPr>
          <w:ilvl w:val="1"/>
          <w:numId w:val="5"/>
        </w:numPr>
      </w:pPr>
      <w:r>
        <w:t>Capacity to manage federal funds and leverage other sources of funding</w:t>
      </w:r>
    </w:p>
    <w:p w14:paraId="6CB7968D" w14:textId="65243FBF" w:rsidR="00E2750F" w:rsidRDefault="00E2750F" w:rsidP="00E2750F">
      <w:pPr>
        <w:pStyle w:val="ListParagraph"/>
        <w:numPr>
          <w:ilvl w:val="1"/>
          <w:numId w:val="5"/>
        </w:numPr>
      </w:pPr>
      <w:r>
        <w:t>Experience serving homeless populations</w:t>
      </w:r>
    </w:p>
    <w:p w14:paraId="63FFBDE1" w14:textId="42BF7064" w:rsidR="00E2750F" w:rsidRDefault="00E2750F" w:rsidP="00E2750F">
      <w:pPr>
        <w:pStyle w:val="ListParagraph"/>
        <w:numPr>
          <w:ilvl w:val="1"/>
          <w:numId w:val="5"/>
        </w:numPr>
      </w:pPr>
      <w:r>
        <w:t>Adherence to the Housing First model</w:t>
      </w:r>
      <w:r w:rsidR="00B719F4">
        <w:t xml:space="preserve"> and other best practices</w:t>
      </w:r>
    </w:p>
    <w:p w14:paraId="3AAE6884" w14:textId="39339E7B" w:rsidR="00E2750F" w:rsidRDefault="00E2750F" w:rsidP="00E2750F">
      <w:pPr>
        <w:pStyle w:val="ListParagraph"/>
        <w:numPr>
          <w:ilvl w:val="1"/>
          <w:numId w:val="5"/>
        </w:numPr>
      </w:pPr>
      <w:r>
        <w:t>Plans to provide housing and services to program participants</w:t>
      </w:r>
    </w:p>
    <w:p w14:paraId="6ADF2C7D" w14:textId="6FBE1476" w:rsidR="006327D5" w:rsidRDefault="006327D5" w:rsidP="00171688">
      <w:pPr>
        <w:pStyle w:val="ListParagraph"/>
        <w:numPr>
          <w:ilvl w:val="0"/>
          <w:numId w:val="6"/>
        </w:numPr>
      </w:pPr>
      <w:r>
        <w:t>Org</w:t>
      </w:r>
      <w:r w:rsidR="00171688">
        <w:t>anizational</w:t>
      </w:r>
      <w:r>
        <w:t xml:space="preserve"> chart</w:t>
      </w:r>
    </w:p>
    <w:p w14:paraId="55C4220E" w14:textId="3D8705BD" w:rsidR="002C4143" w:rsidRPr="002F43FE" w:rsidRDefault="002C4143" w:rsidP="00171688">
      <w:pPr>
        <w:pStyle w:val="ListParagraph"/>
        <w:numPr>
          <w:ilvl w:val="0"/>
          <w:numId w:val="6"/>
        </w:numPr>
      </w:pPr>
      <w:r w:rsidRPr="002F43FE">
        <w:t>A signed Grantee Certification Form</w:t>
      </w:r>
    </w:p>
    <w:p w14:paraId="5C54141D" w14:textId="647D6E8C" w:rsidR="0080305B" w:rsidRPr="002F43FE" w:rsidRDefault="006327D5" w:rsidP="00171688">
      <w:pPr>
        <w:pStyle w:val="ListParagraph"/>
        <w:numPr>
          <w:ilvl w:val="0"/>
          <w:numId w:val="6"/>
        </w:numPr>
      </w:pPr>
      <w:r w:rsidRPr="002F43FE">
        <w:rPr>
          <w:b/>
          <w:bCs/>
        </w:rPr>
        <w:t>Nonprofits</w:t>
      </w:r>
      <w:r w:rsidR="00DD7DCC" w:rsidRPr="002F43FE">
        <w:rPr>
          <w:b/>
          <w:bCs/>
        </w:rPr>
        <w:t xml:space="preserve"> </w:t>
      </w:r>
      <w:r w:rsidR="00012FEB" w:rsidRPr="002F43FE">
        <w:rPr>
          <w:b/>
          <w:bCs/>
        </w:rPr>
        <w:t>O</w:t>
      </w:r>
      <w:r w:rsidR="00DD7DCC" w:rsidRPr="002F43FE">
        <w:rPr>
          <w:b/>
          <w:bCs/>
        </w:rPr>
        <w:t>nly</w:t>
      </w:r>
      <w:r w:rsidRPr="002F43FE">
        <w:t xml:space="preserve">: </w:t>
      </w:r>
      <w:r w:rsidR="0080305B" w:rsidRPr="002F43FE">
        <w:t>501c3 Letter</w:t>
      </w:r>
    </w:p>
    <w:p w14:paraId="07C7B458" w14:textId="065B9793" w:rsidR="00171688" w:rsidRDefault="0080305B" w:rsidP="00171688">
      <w:pPr>
        <w:pStyle w:val="ListParagraph"/>
        <w:numPr>
          <w:ilvl w:val="0"/>
          <w:numId w:val="6"/>
        </w:numPr>
      </w:pPr>
      <w:r>
        <w:rPr>
          <w:b/>
          <w:bCs/>
        </w:rPr>
        <w:t>Nonprofits Only</w:t>
      </w:r>
      <w:r w:rsidRPr="0080305B">
        <w:t>:</w:t>
      </w:r>
      <w:r>
        <w:t xml:space="preserve"> </w:t>
      </w:r>
      <w:r w:rsidR="007F2F3D">
        <w:t>A</w:t>
      </w:r>
      <w:r w:rsidR="00171688">
        <w:t>gency</w:t>
      </w:r>
      <w:r w:rsidR="007F2F3D">
        <w:t>’s Current</w:t>
      </w:r>
      <w:r w:rsidR="00171688">
        <w:t xml:space="preserve"> </w:t>
      </w:r>
      <w:r w:rsidR="007F2F3D">
        <w:t>B</w:t>
      </w:r>
      <w:r w:rsidR="00171688">
        <w:t>udget</w:t>
      </w:r>
    </w:p>
    <w:p w14:paraId="2756265A" w14:textId="32C16AE5" w:rsidR="00A50860" w:rsidRPr="007F2F3D" w:rsidRDefault="00171688" w:rsidP="00B772C4">
      <w:pPr>
        <w:pStyle w:val="ListParagraph"/>
        <w:numPr>
          <w:ilvl w:val="0"/>
          <w:numId w:val="6"/>
        </w:numPr>
        <w:rPr>
          <w:color w:val="FF0000"/>
        </w:rPr>
      </w:pPr>
      <w:r w:rsidRPr="00012FEB">
        <w:rPr>
          <w:b/>
          <w:bCs/>
        </w:rPr>
        <w:t xml:space="preserve">Nonprofits </w:t>
      </w:r>
      <w:r w:rsidR="00012FEB">
        <w:rPr>
          <w:b/>
          <w:bCs/>
        </w:rPr>
        <w:t>O</w:t>
      </w:r>
      <w:r w:rsidRPr="00012FEB">
        <w:rPr>
          <w:b/>
          <w:bCs/>
        </w:rPr>
        <w:t>nly</w:t>
      </w:r>
      <w:r>
        <w:t xml:space="preserve">: </w:t>
      </w:r>
      <w:r w:rsidR="00E154BD">
        <w:t xml:space="preserve">Agency’s Most Recent Audit - </w:t>
      </w:r>
      <w:r w:rsidR="007F2F3D">
        <w:t>I</w:t>
      </w:r>
      <w:r w:rsidR="00557557">
        <w:t xml:space="preserve">f the agency has had an audit, </w:t>
      </w:r>
      <w:r w:rsidR="00E154BD">
        <w:t>submit the</w:t>
      </w:r>
      <w:r w:rsidR="00557557">
        <w:t xml:space="preserve"> </w:t>
      </w:r>
      <w:r w:rsidR="00E154BD">
        <w:t xml:space="preserve">most recent </w:t>
      </w:r>
      <w:r w:rsidR="006327D5">
        <w:t xml:space="preserve">audit letter </w:t>
      </w:r>
      <w:r>
        <w:t xml:space="preserve">stating that the agency has had an audit and summarizing any </w:t>
      </w:r>
      <w:r w:rsidRPr="002F43FE">
        <w:t>findings</w:t>
      </w:r>
      <w:r w:rsidR="009122D2" w:rsidRPr="002F43FE">
        <w:t xml:space="preserve">. </w:t>
      </w:r>
      <w:r w:rsidR="007F2F3D" w:rsidRPr="002F43FE">
        <w:t xml:space="preserve">If the agency has not had an audit, </w:t>
      </w:r>
      <w:r w:rsidR="00E154BD" w:rsidRPr="002F43FE">
        <w:t xml:space="preserve">submit </w:t>
      </w:r>
      <w:r w:rsidR="007F2F3D" w:rsidRPr="002F43FE">
        <w:t>a letter stating that the agency has not had an audit.</w:t>
      </w:r>
    </w:p>
    <w:p w14:paraId="2737CC6E" w14:textId="25873A33" w:rsidR="00F040F1" w:rsidRDefault="00A50860" w:rsidP="00B772C4">
      <w:pPr>
        <w:pStyle w:val="ListParagraph"/>
        <w:numPr>
          <w:ilvl w:val="0"/>
          <w:numId w:val="6"/>
        </w:numPr>
      </w:pPr>
      <w:r w:rsidRPr="00012FEB">
        <w:rPr>
          <w:b/>
          <w:bCs/>
        </w:rPr>
        <w:t xml:space="preserve">Nonprofits </w:t>
      </w:r>
      <w:r w:rsidR="00012FEB">
        <w:rPr>
          <w:b/>
          <w:bCs/>
        </w:rPr>
        <w:t>O</w:t>
      </w:r>
      <w:r w:rsidRPr="00012FEB">
        <w:rPr>
          <w:b/>
          <w:bCs/>
        </w:rPr>
        <w:t>nly</w:t>
      </w:r>
      <w:r>
        <w:t xml:space="preserve">: </w:t>
      </w:r>
      <w:r w:rsidR="007F2F3D">
        <w:t>F</w:t>
      </w:r>
      <w:r w:rsidR="009122D2">
        <w:t xml:space="preserve">inancial statements from the most </w:t>
      </w:r>
      <w:r w:rsidR="009122D2" w:rsidRPr="002F43FE">
        <w:t>recent</w:t>
      </w:r>
      <w:r w:rsidR="007F2F3D" w:rsidRPr="002F43FE">
        <w:t>ly closed</w:t>
      </w:r>
      <w:r w:rsidR="009122D2" w:rsidRPr="002F43FE">
        <w:t xml:space="preserve"> fiscal </w:t>
      </w:r>
      <w:r w:rsidR="009122D2">
        <w:t>year, including a profit &amp; loss statement.</w:t>
      </w:r>
    </w:p>
    <w:p w14:paraId="1AEC7EDC" w14:textId="77777777" w:rsidR="00190048" w:rsidRPr="008A5BFA" w:rsidRDefault="00190048" w:rsidP="00190048">
      <w:pPr>
        <w:rPr>
          <w:sz w:val="10"/>
          <w:szCs w:val="10"/>
        </w:rPr>
      </w:pPr>
    </w:p>
    <w:p w14:paraId="3E497804" w14:textId="4EF473C9" w:rsidR="00D616D3" w:rsidRDefault="007F2F3D" w:rsidP="00190048">
      <w:pPr>
        <w:rPr>
          <w:b/>
        </w:rPr>
      </w:pPr>
      <w:r w:rsidRPr="006C2CEC">
        <w:rPr>
          <w:b/>
        </w:rPr>
        <w:t>Due dates are firm, and no late proposals will be considered.</w:t>
      </w:r>
    </w:p>
    <w:p w14:paraId="18013433" w14:textId="77777777" w:rsidR="00D616D3" w:rsidRPr="00DE7A9D" w:rsidRDefault="00D616D3" w:rsidP="00190048">
      <w:pPr>
        <w:rPr>
          <w:b/>
        </w:rPr>
      </w:pPr>
    </w:p>
    <w:p w14:paraId="6EACB61F" w14:textId="77777777" w:rsidR="00012FEB" w:rsidRDefault="00012FEB" w:rsidP="00012FEB">
      <w:pPr>
        <w:jc w:val="center"/>
        <w:rPr>
          <w:b/>
          <w:sz w:val="24"/>
          <w:u w:val="single"/>
        </w:rPr>
      </w:pPr>
      <w:r w:rsidRPr="00E04F4C">
        <w:rPr>
          <w:b/>
          <w:sz w:val="24"/>
          <w:u w:val="single"/>
        </w:rPr>
        <w:t>Review Process</w:t>
      </w:r>
    </w:p>
    <w:p w14:paraId="72D3A3FE" w14:textId="5A306E11" w:rsidR="00012FEB" w:rsidRPr="00E154BD" w:rsidRDefault="00012FEB" w:rsidP="00012FEB">
      <w:pPr>
        <w:rPr>
          <w:color w:val="FF0000"/>
        </w:rPr>
      </w:pPr>
      <w:r>
        <w:t xml:space="preserve">Proposals received from eligible agencies </w:t>
      </w:r>
      <w:r w:rsidR="00E154BD">
        <w:t xml:space="preserve">by the </w:t>
      </w:r>
      <w:r w:rsidR="005E7C2B">
        <w:t>deadline</w:t>
      </w:r>
      <w:r w:rsidR="00E154BD">
        <w:t xml:space="preserve"> </w:t>
      </w:r>
      <w:r>
        <w:t xml:space="preserve">will be reviewed by the members of the NC BoS CoC Project Review </w:t>
      </w:r>
      <w:r w:rsidRPr="009A02C4">
        <w:t>Committee</w:t>
      </w:r>
      <w:r w:rsidR="00DE7A9D" w:rsidRPr="009A02C4">
        <w:t xml:space="preserve"> </w:t>
      </w:r>
      <w:r w:rsidR="004C051B" w:rsidRPr="009A02C4">
        <w:t xml:space="preserve">on </w:t>
      </w:r>
      <w:r w:rsidR="005E7C2B">
        <w:t>June 7</w:t>
      </w:r>
      <w:r w:rsidR="0030475E">
        <w:t>, 2024</w:t>
      </w:r>
      <w:r w:rsidRPr="009A02C4">
        <w:t xml:space="preserve">. </w:t>
      </w:r>
      <w:r w:rsidR="00DE19BB" w:rsidRPr="009A02C4">
        <w:t xml:space="preserve">The applicant agency(ies) chosen for recommendation by the Project Review Committee will be notified no later than </w:t>
      </w:r>
      <w:r w:rsidR="001557C6">
        <w:t>June 10</w:t>
      </w:r>
      <w:r w:rsidR="00AA41CC">
        <w:t>, 2024</w:t>
      </w:r>
      <w:r w:rsidR="00DE19BB" w:rsidRPr="009A02C4">
        <w:t xml:space="preserve">. </w:t>
      </w:r>
      <w:r w:rsidR="00C878DA" w:rsidRPr="009A02C4">
        <w:t>A</w:t>
      </w:r>
      <w:r w:rsidRPr="009A02C4">
        <w:t>pplicant agency</w:t>
      </w:r>
      <w:r w:rsidR="00E154BD" w:rsidRPr="009A02C4">
        <w:t>(ies)</w:t>
      </w:r>
      <w:r w:rsidRPr="009A02C4">
        <w:t xml:space="preserve"> will be recommended by the Project Review Committee to the Steering Committee on </w:t>
      </w:r>
      <w:r w:rsidR="001557C6">
        <w:t>June 11</w:t>
      </w:r>
      <w:r w:rsidRPr="009A02C4">
        <w:t>, 2024</w:t>
      </w:r>
      <w:r w:rsidR="00660C9F" w:rsidRPr="009A02C4">
        <w:t xml:space="preserve">. </w:t>
      </w:r>
      <w:r w:rsidR="00E154BD" w:rsidRPr="009A02C4">
        <w:t>The recommended applicant</w:t>
      </w:r>
      <w:r w:rsidR="00DE7A9D" w:rsidRPr="009A02C4">
        <w:t xml:space="preserve"> agency</w:t>
      </w:r>
      <w:r w:rsidR="00E154BD" w:rsidRPr="009A02C4">
        <w:t>(</w:t>
      </w:r>
      <w:r w:rsidR="00DE7A9D" w:rsidRPr="009A02C4">
        <w:t>ie</w:t>
      </w:r>
      <w:r w:rsidR="00E154BD" w:rsidRPr="009A02C4">
        <w:t xml:space="preserve">s) will be notified of the Steering Committee’s decision </w:t>
      </w:r>
      <w:r w:rsidR="00660C9F" w:rsidRPr="009A02C4">
        <w:t>by</w:t>
      </w:r>
      <w:r w:rsidR="00E154BD" w:rsidRPr="009A02C4">
        <w:t xml:space="preserve"> </w:t>
      </w:r>
      <w:r w:rsidR="00AA41CC">
        <w:t xml:space="preserve">no later than </w:t>
      </w:r>
      <w:r w:rsidR="001557C6">
        <w:t>June</w:t>
      </w:r>
      <w:r w:rsidR="00786481">
        <w:t xml:space="preserve"> 14</w:t>
      </w:r>
      <w:r w:rsidR="00E154BD" w:rsidRPr="009A02C4">
        <w:t>, 2024.</w:t>
      </w:r>
    </w:p>
    <w:p w14:paraId="22AA53E8" w14:textId="77777777" w:rsidR="00F040F1" w:rsidRPr="00E154BD" w:rsidRDefault="00F040F1">
      <w:pPr>
        <w:rPr>
          <w:color w:val="FF0000"/>
        </w:rPr>
      </w:pPr>
    </w:p>
    <w:sectPr w:rsidR="00F040F1" w:rsidRPr="00E154BD" w:rsidSect="00AB4F1B">
      <w:footerReference w:type="defaul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CDFB" w14:textId="77777777" w:rsidR="001A5FD6" w:rsidRDefault="001A5FD6" w:rsidP="00DE7A9D">
      <w:r>
        <w:separator/>
      </w:r>
    </w:p>
  </w:endnote>
  <w:endnote w:type="continuationSeparator" w:id="0">
    <w:p w14:paraId="0A669C29" w14:textId="77777777" w:rsidR="001A5FD6" w:rsidRDefault="001A5FD6" w:rsidP="00DE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6414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84DE3A" w14:textId="33BC3762" w:rsidR="00DE7A9D" w:rsidRDefault="00DE7A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71CF1" w14:textId="77777777" w:rsidR="00DE7A9D" w:rsidRDefault="00DE7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D3256" w14:textId="77777777" w:rsidR="001A5FD6" w:rsidRDefault="001A5FD6" w:rsidP="00DE7A9D">
      <w:r>
        <w:separator/>
      </w:r>
    </w:p>
  </w:footnote>
  <w:footnote w:type="continuationSeparator" w:id="0">
    <w:p w14:paraId="716F9DE7" w14:textId="77777777" w:rsidR="001A5FD6" w:rsidRDefault="001A5FD6" w:rsidP="00DE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1C5"/>
    <w:multiLevelType w:val="hybridMultilevel"/>
    <w:tmpl w:val="5DC48E34"/>
    <w:lvl w:ilvl="0" w:tplc="AAF63D7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D26F9"/>
    <w:multiLevelType w:val="hybridMultilevel"/>
    <w:tmpl w:val="E9C2485C"/>
    <w:lvl w:ilvl="0" w:tplc="AAF63D7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162DC"/>
    <w:multiLevelType w:val="hybridMultilevel"/>
    <w:tmpl w:val="A698B6A0"/>
    <w:lvl w:ilvl="0" w:tplc="AAF63D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D926E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448C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894E1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72415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FF08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E564E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6A2A1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8EC256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1A032DEA"/>
    <w:multiLevelType w:val="hybridMultilevel"/>
    <w:tmpl w:val="2E12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1C27"/>
    <w:multiLevelType w:val="hybridMultilevel"/>
    <w:tmpl w:val="00DE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6EB1"/>
    <w:multiLevelType w:val="hybridMultilevel"/>
    <w:tmpl w:val="A002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F705B"/>
    <w:multiLevelType w:val="hybridMultilevel"/>
    <w:tmpl w:val="24D8C2A2"/>
    <w:lvl w:ilvl="0" w:tplc="344CBC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0AEAC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A7CA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9B29D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720FD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226A0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34427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9589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50C7A1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 w15:restartNumberingAfterBreak="0">
    <w:nsid w:val="4A0147BF"/>
    <w:multiLevelType w:val="hybridMultilevel"/>
    <w:tmpl w:val="2228BE30"/>
    <w:lvl w:ilvl="0" w:tplc="AAF63D7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482617"/>
    <w:multiLevelType w:val="hybridMultilevel"/>
    <w:tmpl w:val="3F448BA2"/>
    <w:lvl w:ilvl="0" w:tplc="26C22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D1431"/>
    <w:multiLevelType w:val="hybridMultilevel"/>
    <w:tmpl w:val="A86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A2B71"/>
    <w:multiLevelType w:val="hybridMultilevel"/>
    <w:tmpl w:val="382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00807">
    <w:abstractNumId w:val="3"/>
  </w:num>
  <w:num w:numId="2" w16cid:durableId="1123503319">
    <w:abstractNumId w:val="5"/>
  </w:num>
  <w:num w:numId="3" w16cid:durableId="1395352091">
    <w:abstractNumId w:val="9"/>
  </w:num>
  <w:num w:numId="4" w16cid:durableId="513494017">
    <w:abstractNumId w:val="10"/>
  </w:num>
  <w:num w:numId="5" w16cid:durableId="933049598">
    <w:abstractNumId w:val="4"/>
  </w:num>
  <w:num w:numId="6" w16cid:durableId="1206798486">
    <w:abstractNumId w:val="8"/>
  </w:num>
  <w:num w:numId="7" w16cid:durableId="1371419662">
    <w:abstractNumId w:val="2"/>
  </w:num>
  <w:num w:numId="8" w16cid:durableId="242957564">
    <w:abstractNumId w:val="6"/>
  </w:num>
  <w:num w:numId="9" w16cid:durableId="1427656068">
    <w:abstractNumId w:val="1"/>
  </w:num>
  <w:num w:numId="10" w16cid:durableId="1128161588">
    <w:abstractNumId w:val="7"/>
  </w:num>
  <w:num w:numId="11" w16cid:durableId="116393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F1"/>
    <w:rsid w:val="00000890"/>
    <w:rsid w:val="00004AC0"/>
    <w:rsid w:val="00012D37"/>
    <w:rsid w:val="00012FEB"/>
    <w:rsid w:val="0001443A"/>
    <w:rsid w:val="00025F28"/>
    <w:rsid w:val="00036C4E"/>
    <w:rsid w:val="00051369"/>
    <w:rsid w:val="00056082"/>
    <w:rsid w:val="00070D95"/>
    <w:rsid w:val="000825F4"/>
    <w:rsid w:val="00084D09"/>
    <w:rsid w:val="000B39A2"/>
    <w:rsid w:val="000D5714"/>
    <w:rsid w:val="00101BEF"/>
    <w:rsid w:val="00101FF7"/>
    <w:rsid w:val="00125BFC"/>
    <w:rsid w:val="001338A5"/>
    <w:rsid w:val="0014608A"/>
    <w:rsid w:val="001557C6"/>
    <w:rsid w:val="00162749"/>
    <w:rsid w:val="00165D10"/>
    <w:rsid w:val="00165D57"/>
    <w:rsid w:val="00171688"/>
    <w:rsid w:val="00172ECC"/>
    <w:rsid w:val="00174FA1"/>
    <w:rsid w:val="001754C0"/>
    <w:rsid w:val="001811E9"/>
    <w:rsid w:val="00190048"/>
    <w:rsid w:val="0019281C"/>
    <w:rsid w:val="00197434"/>
    <w:rsid w:val="001A1161"/>
    <w:rsid w:val="001A5FD6"/>
    <w:rsid w:val="001E4A09"/>
    <w:rsid w:val="001F34D6"/>
    <w:rsid w:val="001F3D71"/>
    <w:rsid w:val="002058CE"/>
    <w:rsid w:val="00221A35"/>
    <w:rsid w:val="0025324A"/>
    <w:rsid w:val="00266FE4"/>
    <w:rsid w:val="00276889"/>
    <w:rsid w:val="00280694"/>
    <w:rsid w:val="00287FA9"/>
    <w:rsid w:val="00295E62"/>
    <w:rsid w:val="002C4143"/>
    <w:rsid w:val="002D4D89"/>
    <w:rsid w:val="002D5166"/>
    <w:rsid w:val="002F2F46"/>
    <w:rsid w:val="002F43FE"/>
    <w:rsid w:val="002F5C66"/>
    <w:rsid w:val="0030475E"/>
    <w:rsid w:val="003106FE"/>
    <w:rsid w:val="00325165"/>
    <w:rsid w:val="00342CC5"/>
    <w:rsid w:val="00390CC2"/>
    <w:rsid w:val="00393E72"/>
    <w:rsid w:val="003C38E0"/>
    <w:rsid w:val="003C64C7"/>
    <w:rsid w:val="003D2E64"/>
    <w:rsid w:val="003E03D7"/>
    <w:rsid w:val="003E29AF"/>
    <w:rsid w:val="003E4A22"/>
    <w:rsid w:val="003F5EA3"/>
    <w:rsid w:val="004004A3"/>
    <w:rsid w:val="004075DD"/>
    <w:rsid w:val="00414486"/>
    <w:rsid w:val="004516EA"/>
    <w:rsid w:val="00452662"/>
    <w:rsid w:val="00454E1D"/>
    <w:rsid w:val="004728D5"/>
    <w:rsid w:val="00480405"/>
    <w:rsid w:val="00482039"/>
    <w:rsid w:val="00492AC5"/>
    <w:rsid w:val="00494398"/>
    <w:rsid w:val="004A406B"/>
    <w:rsid w:val="004A5120"/>
    <w:rsid w:val="004B1E39"/>
    <w:rsid w:val="004C051B"/>
    <w:rsid w:val="004C1406"/>
    <w:rsid w:val="004E3B4A"/>
    <w:rsid w:val="004F0325"/>
    <w:rsid w:val="00505253"/>
    <w:rsid w:val="0050675F"/>
    <w:rsid w:val="005159EA"/>
    <w:rsid w:val="0051682A"/>
    <w:rsid w:val="00543492"/>
    <w:rsid w:val="00547579"/>
    <w:rsid w:val="00552307"/>
    <w:rsid w:val="00557557"/>
    <w:rsid w:val="00563B37"/>
    <w:rsid w:val="005A3010"/>
    <w:rsid w:val="005C000A"/>
    <w:rsid w:val="005C19C5"/>
    <w:rsid w:val="005C2166"/>
    <w:rsid w:val="005D5843"/>
    <w:rsid w:val="005D7491"/>
    <w:rsid w:val="005E29CA"/>
    <w:rsid w:val="005E73BC"/>
    <w:rsid w:val="005E7C2B"/>
    <w:rsid w:val="005F2DBB"/>
    <w:rsid w:val="005F6B2D"/>
    <w:rsid w:val="00600935"/>
    <w:rsid w:val="00605A43"/>
    <w:rsid w:val="006117D2"/>
    <w:rsid w:val="006327D5"/>
    <w:rsid w:val="00642256"/>
    <w:rsid w:val="00652517"/>
    <w:rsid w:val="00660C9F"/>
    <w:rsid w:val="00661C70"/>
    <w:rsid w:val="00670376"/>
    <w:rsid w:val="00670639"/>
    <w:rsid w:val="006764FB"/>
    <w:rsid w:val="006815DB"/>
    <w:rsid w:val="006B174F"/>
    <w:rsid w:val="006B3E8A"/>
    <w:rsid w:val="006B4E2C"/>
    <w:rsid w:val="006B78F0"/>
    <w:rsid w:val="006C2CEC"/>
    <w:rsid w:val="006D1C6F"/>
    <w:rsid w:val="006E3FE3"/>
    <w:rsid w:val="006F6568"/>
    <w:rsid w:val="00707009"/>
    <w:rsid w:val="00712780"/>
    <w:rsid w:val="00721360"/>
    <w:rsid w:val="00780D04"/>
    <w:rsid w:val="00784C99"/>
    <w:rsid w:val="00784F46"/>
    <w:rsid w:val="00786481"/>
    <w:rsid w:val="007E5FEA"/>
    <w:rsid w:val="007F2F3D"/>
    <w:rsid w:val="007F6886"/>
    <w:rsid w:val="008004FF"/>
    <w:rsid w:val="0080305B"/>
    <w:rsid w:val="008052C3"/>
    <w:rsid w:val="00831E87"/>
    <w:rsid w:val="00847DCA"/>
    <w:rsid w:val="00873558"/>
    <w:rsid w:val="00883582"/>
    <w:rsid w:val="00892B48"/>
    <w:rsid w:val="00892E59"/>
    <w:rsid w:val="00894353"/>
    <w:rsid w:val="008A5BFA"/>
    <w:rsid w:val="008A6147"/>
    <w:rsid w:val="008B4535"/>
    <w:rsid w:val="008B6152"/>
    <w:rsid w:val="008D1C6C"/>
    <w:rsid w:val="008D4445"/>
    <w:rsid w:val="008D6C9B"/>
    <w:rsid w:val="008F698A"/>
    <w:rsid w:val="009122D2"/>
    <w:rsid w:val="00924F82"/>
    <w:rsid w:val="00925796"/>
    <w:rsid w:val="00930D11"/>
    <w:rsid w:val="009345E0"/>
    <w:rsid w:val="00993A14"/>
    <w:rsid w:val="009A02C4"/>
    <w:rsid w:val="009B1E93"/>
    <w:rsid w:val="009D78FF"/>
    <w:rsid w:val="009D7DCE"/>
    <w:rsid w:val="009E693D"/>
    <w:rsid w:val="009F2838"/>
    <w:rsid w:val="009F3672"/>
    <w:rsid w:val="00A03965"/>
    <w:rsid w:val="00A06FF7"/>
    <w:rsid w:val="00A27432"/>
    <w:rsid w:val="00A308FE"/>
    <w:rsid w:val="00A41208"/>
    <w:rsid w:val="00A50860"/>
    <w:rsid w:val="00A54376"/>
    <w:rsid w:val="00A56184"/>
    <w:rsid w:val="00A74D0C"/>
    <w:rsid w:val="00A804AC"/>
    <w:rsid w:val="00AA41CC"/>
    <w:rsid w:val="00AB4F1B"/>
    <w:rsid w:val="00AE129D"/>
    <w:rsid w:val="00AF127E"/>
    <w:rsid w:val="00B04E4E"/>
    <w:rsid w:val="00B055E4"/>
    <w:rsid w:val="00B07725"/>
    <w:rsid w:val="00B20CEC"/>
    <w:rsid w:val="00B52B43"/>
    <w:rsid w:val="00B54009"/>
    <w:rsid w:val="00B703E3"/>
    <w:rsid w:val="00B719F4"/>
    <w:rsid w:val="00B73C36"/>
    <w:rsid w:val="00B80CE4"/>
    <w:rsid w:val="00BC68DF"/>
    <w:rsid w:val="00BF1519"/>
    <w:rsid w:val="00BF2E42"/>
    <w:rsid w:val="00BF6EBD"/>
    <w:rsid w:val="00BF7299"/>
    <w:rsid w:val="00C331BA"/>
    <w:rsid w:val="00C37C68"/>
    <w:rsid w:val="00C768F0"/>
    <w:rsid w:val="00C878DA"/>
    <w:rsid w:val="00D07AC3"/>
    <w:rsid w:val="00D13DE4"/>
    <w:rsid w:val="00D15925"/>
    <w:rsid w:val="00D201AB"/>
    <w:rsid w:val="00D33C2C"/>
    <w:rsid w:val="00D61228"/>
    <w:rsid w:val="00D616D3"/>
    <w:rsid w:val="00D76ED4"/>
    <w:rsid w:val="00D9454A"/>
    <w:rsid w:val="00DB5CCC"/>
    <w:rsid w:val="00DD34EE"/>
    <w:rsid w:val="00DD610F"/>
    <w:rsid w:val="00DD7DCC"/>
    <w:rsid w:val="00DE19BB"/>
    <w:rsid w:val="00DE6D90"/>
    <w:rsid w:val="00DE7A9D"/>
    <w:rsid w:val="00DF3DC5"/>
    <w:rsid w:val="00DF46BF"/>
    <w:rsid w:val="00E04F4C"/>
    <w:rsid w:val="00E154BD"/>
    <w:rsid w:val="00E1606B"/>
    <w:rsid w:val="00E266E6"/>
    <w:rsid w:val="00E2750F"/>
    <w:rsid w:val="00E80043"/>
    <w:rsid w:val="00EA67ED"/>
    <w:rsid w:val="00EB3A56"/>
    <w:rsid w:val="00ED7F7E"/>
    <w:rsid w:val="00EF0932"/>
    <w:rsid w:val="00F040F1"/>
    <w:rsid w:val="00F515F2"/>
    <w:rsid w:val="00F61E6B"/>
    <w:rsid w:val="00F95952"/>
    <w:rsid w:val="00FA3584"/>
    <w:rsid w:val="00FA50E2"/>
    <w:rsid w:val="00FB7331"/>
    <w:rsid w:val="00FB7883"/>
    <w:rsid w:val="00FD08C2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8F3E0"/>
  <w15:chartTrackingRefBased/>
  <w15:docId w15:val="{176BD254-CC60-4A8C-BB7D-68865402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4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1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FF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A9D"/>
  </w:style>
  <w:style w:type="paragraph" w:styleId="Footer">
    <w:name w:val="footer"/>
    <w:basedOn w:val="Normal"/>
    <w:link w:val="FooterChar"/>
    <w:uiPriority w:val="99"/>
    <w:unhideWhenUsed/>
    <w:rsid w:val="00DE7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A9D"/>
  </w:style>
  <w:style w:type="paragraph" w:styleId="Revision">
    <w:name w:val="Revision"/>
    <w:hidden/>
    <w:uiPriority w:val="99"/>
    <w:semiHidden/>
    <w:rsid w:val="004C051B"/>
  </w:style>
  <w:style w:type="paragraph" w:styleId="NormalWeb">
    <w:name w:val="Normal (Web)"/>
    <w:basedOn w:val="Normal"/>
    <w:uiPriority w:val="99"/>
    <w:semiHidden/>
    <w:unhideWhenUsed/>
    <w:rsid w:val="007F6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homelessness-assistance/coc-esg-virtual-binders/coc-esg-homeless-eligibility/definition-of-chronic-homelessness/" TargetMode="External"/><Relationship Id="rId13" Type="http://schemas.openxmlformats.org/officeDocument/2006/relationships/hyperlink" Target="https://www.ncceh.org/bos/prospectivegrante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app.smartsheet.com/b/form/7c1b3125cb414ca1be08d83f994eee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ceh.org/bos/currentcocapplicat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hudexchange.info/homelessness-assistance/coc-esg-virtual-binders/coc-esg-homeless-eligibility/four-categories/category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exchange.info/homelessness-assistance/coc-esg-virtual-binders/coc-esg-homeless-eligibility/definition-of-chronic-homelessness/" TargetMode="External"/><Relationship Id="rId14" Type="http://schemas.openxmlformats.org/officeDocument/2006/relationships/hyperlink" Target="https://www.ncceh.org/bos/prospectivegrantees/%20%20%20%20%20%20%20%20%20%20%20%20%20%20%20%20%20%20%20%20%20%20%20%20%20%20%20%20%20%20%20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885</Words>
  <Characters>5308</Characters>
  <Application>Microsoft Office Word</Application>
  <DocSecurity>8</DocSecurity>
  <Lines>106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Jenny Simmons</cp:lastModifiedBy>
  <cp:revision>4</cp:revision>
  <dcterms:created xsi:type="dcterms:W3CDTF">2024-05-17T19:50:00Z</dcterms:created>
  <dcterms:modified xsi:type="dcterms:W3CDTF">2024-05-17T20:57:00Z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bc5e5ee9388cf4d1704b381f0fea60c09810c79b5cdbd40b701eb6578bc51b30</vt:lpwstr>
  </property>
</Properties>
</file>